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topLinePunct w:val="0"/>
        <w:autoSpaceDN/>
        <w:bidi w:val="0"/>
        <w:adjustRightInd/>
        <w:snapToGrid/>
        <w:spacing w:beforeAutospacing="0" w:line="560" w:lineRule="exact"/>
        <w:ind w:left="0" w:leftChars="0"/>
        <w:textAlignment w:val="auto"/>
        <w:rPr>
          <w:rFonts w:hint="eastAsia" w:ascii="方正黑体_GBK" w:hAnsi="方正黑体_GBK" w:eastAsia="方正黑体_GBK" w:cs="方正黑体_GBK"/>
          <w:color w:val="auto"/>
          <w:lang w:val="en-US" w:eastAsia="zh-CN"/>
        </w:rPr>
      </w:pPr>
      <w:r>
        <w:rPr>
          <w:rFonts w:hint="eastAsia" w:ascii="方正黑体_GBK" w:hAnsi="方正黑体_GBK" w:eastAsia="方正黑体_GBK" w:cs="方正黑体_GBK"/>
          <w:color w:val="auto"/>
          <w:lang w:eastAsia="zh-CN"/>
        </w:rPr>
        <w:t>附件</w:t>
      </w:r>
      <w:r>
        <w:rPr>
          <w:rFonts w:hint="eastAsia" w:ascii="方正黑体_GBK" w:hAnsi="方正黑体_GBK" w:eastAsia="方正黑体_GBK" w:cs="方正黑体_GBK"/>
          <w:color w:val="auto"/>
          <w:lang w:val="en-US" w:eastAsia="zh-CN"/>
        </w:rPr>
        <w:t>二</w:t>
      </w:r>
    </w:p>
    <w:p>
      <w:pPr>
        <w:pStyle w:val="2"/>
        <w:keepNext w:val="0"/>
        <w:keepLines w:val="0"/>
        <w:pageBreakBefore w:val="0"/>
        <w:widowControl w:val="0"/>
        <w:kinsoku/>
        <w:topLinePunct w:val="0"/>
        <w:autoSpaceDN/>
        <w:bidi w:val="0"/>
        <w:adjustRightInd/>
        <w:snapToGrid/>
        <w:spacing w:before="0" w:beforeAutospacing="0" w:after="0"/>
        <w:ind w:left="0" w:leftChars="0"/>
        <w:textAlignment w:val="auto"/>
        <w:rPr>
          <w:rFonts w:hint="default"/>
          <w:lang w:val="en-US" w:eastAsia="zh-CN"/>
        </w:rPr>
      </w:pPr>
    </w:p>
    <w:p>
      <w:pPr>
        <w:keepNext w:val="0"/>
        <w:keepLines w:val="0"/>
        <w:pageBreakBefore w:val="0"/>
        <w:widowControl w:val="0"/>
        <w:kinsoku/>
        <w:topLinePunct w:val="0"/>
        <w:autoSpaceDN/>
        <w:bidi w:val="0"/>
        <w:adjustRightInd/>
        <w:snapToGrid/>
        <w:spacing w:beforeAutospacing="0" w:line="560" w:lineRule="exact"/>
        <w:ind w:left="0" w:leftChars="0"/>
        <w:jc w:val="center"/>
        <w:textAlignment w:val="auto"/>
        <w:rPr>
          <w:rFonts w:ascii="仿宋" w:hAnsi="仿宋" w:eastAsia="方正小标宋_GBK" w:cs="方正小标宋_GBK"/>
          <w:color w:val="auto"/>
          <w:sz w:val="44"/>
          <w:szCs w:val="44"/>
        </w:rPr>
      </w:pPr>
      <w:r>
        <w:rPr>
          <w:rFonts w:hint="eastAsia" w:ascii="仿宋" w:hAnsi="仿宋" w:eastAsia="方正小标宋_GBK" w:cs="方正小标宋_GBK"/>
          <w:color w:val="auto"/>
          <w:sz w:val="44"/>
          <w:szCs w:val="44"/>
        </w:rPr>
        <w:t>关于《湖北省城乡社区治理促进条例</w:t>
      </w:r>
    </w:p>
    <w:p>
      <w:pPr>
        <w:keepNext w:val="0"/>
        <w:keepLines w:val="0"/>
        <w:pageBreakBefore w:val="0"/>
        <w:widowControl w:val="0"/>
        <w:kinsoku/>
        <w:topLinePunct w:val="0"/>
        <w:autoSpaceDN/>
        <w:bidi w:val="0"/>
        <w:adjustRightInd/>
        <w:snapToGrid/>
        <w:spacing w:beforeAutospacing="0" w:line="560" w:lineRule="exact"/>
        <w:ind w:left="0" w:leftChars="0"/>
        <w:jc w:val="center"/>
        <w:textAlignment w:val="auto"/>
        <w:rPr>
          <w:rFonts w:ascii="仿宋" w:hAnsi="仿宋" w:eastAsia="方正小标宋_GBK" w:cs="方正小标宋_GBK"/>
          <w:color w:val="auto"/>
          <w:sz w:val="44"/>
          <w:szCs w:val="44"/>
        </w:rPr>
      </w:pPr>
      <w:r>
        <w:rPr>
          <w:rFonts w:hint="eastAsia" w:ascii="仿宋" w:hAnsi="仿宋" w:eastAsia="方正小标宋_GBK" w:cs="方正小标宋_GBK"/>
          <w:color w:val="auto"/>
          <w:sz w:val="44"/>
          <w:szCs w:val="44"/>
        </w:rPr>
        <w:t>（草案）》的说明</w:t>
      </w:r>
    </w:p>
    <w:p>
      <w:pPr>
        <w:keepNext w:val="0"/>
        <w:keepLines w:val="0"/>
        <w:pageBreakBefore w:val="0"/>
        <w:widowControl w:val="0"/>
        <w:kinsoku/>
        <w:topLinePunct w:val="0"/>
        <w:autoSpaceDN/>
        <w:bidi w:val="0"/>
        <w:adjustRightInd/>
        <w:snapToGrid/>
        <w:spacing w:beforeAutospacing="0" w:line="560" w:lineRule="exact"/>
        <w:ind w:left="0" w:leftChars="0" w:firstLine="600" w:firstLineChars="200"/>
        <w:textAlignment w:val="auto"/>
        <w:rPr>
          <w:rFonts w:ascii="仿宋" w:hAnsi="仿宋" w:eastAsia="华文仿宋" w:cs="仿宋"/>
          <w:bCs/>
          <w:color w:val="auto"/>
          <w:sz w:val="30"/>
          <w:szCs w:val="30"/>
        </w:rPr>
      </w:pPr>
    </w:p>
    <w:p>
      <w:pPr>
        <w:keepNext w:val="0"/>
        <w:keepLines w:val="0"/>
        <w:pageBreakBefore w:val="0"/>
        <w:widowControl w:val="0"/>
        <w:kinsoku/>
        <w:overflowPunct w:val="0"/>
        <w:topLinePunct w:val="0"/>
        <w:autoSpaceDN/>
        <w:bidi w:val="0"/>
        <w:adjustRightInd/>
        <w:snapToGrid/>
        <w:spacing w:beforeAutospacing="0" w:line="560" w:lineRule="exact"/>
        <w:ind w:left="0" w:leftChars="0" w:firstLine="640" w:firstLineChars="200"/>
        <w:jc w:val="both"/>
        <w:textAlignment w:val="auto"/>
        <w:rPr>
          <w:rFonts w:ascii="仿宋" w:hAnsi="仿宋" w:eastAsia="方正仿宋_GBK" w:cs="方正仿宋_GBK"/>
          <w:bCs/>
          <w:color w:val="auto"/>
          <w:sz w:val="32"/>
          <w:szCs w:val="32"/>
        </w:rPr>
      </w:pPr>
      <w:r>
        <w:rPr>
          <w:rFonts w:hint="eastAsia" w:ascii="仿宋" w:hAnsi="仿宋" w:eastAsia="方正仿宋_GBK" w:cs="方正仿宋_GBK"/>
          <w:bCs/>
          <w:color w:val="auto"/>
          <w:sz w:val="32"/>
          <w:szCs w:val="32"/>
        </w:rPr>
        <w:t>《湖北</w:t>
      </w:r>
      <w:r>
        <w:rPr>
          <w:rFonts w:ascii="仿宋" w:hAnsi="仿宋" w:eastAsia="方正仿宋_GBK" w:cs="方正仿宋_GBK"/>
          <w:bCs/>
          <w:color w:val="auto"/>
          <w:sz w:val="32"/>
          <w:szCs w:val="32"/>
        </w:rPr>
        <w:t>省城乡社区治理促进</w:t>
      </w:r>
      <w:r>
        <w:rPr>
          <w:rFonts w:hint="eastAsia" w:ascii="仿宋" w:hAnsi="仿宋" w:eastAsia="方正仿宋_GBK" w:cs="方正仿宋_GBK"/>
          <w:bCs/>
          <w:color w:val="auto"/>
          <w:sz w:val="32"/>
          <w:szCs w:val="32"/>
        </w:rPr>
        <w:t>条例》（以</w:t>
      </w:r>
      <w:r>
        <w:rPr>
          <w:rFonts w:ascii="仿宋" w:hAnsi="仿宋" w:eastAsia="方正仿宋_GBK" w:cs="方正仿宋_GBK"/>
          <w:bCs/>
          <w:color w:val="auto"/>
          <w:sz w:val="32"/>
          <w:szCs w:val="32"/>
        </w:rPr>
        <w:t>下简称</w:t>
      </w:r>
      <w:r>
        <w:rPr>
          <w:rFonts w:hint="eastAsia" w:ascii="仿宋" w:hAnsi="仿宋" w:eastAsia="方正仿宋_GBK" w:cs="方正仿宋_GBK"/>
          <w:bCs/>
          <w:color w:val="auto"/>
          <w:sz w:val="32"/>
          <w:szCs w:val="32"/>
        </w:rPr>
        <w:t>《条例》</w:t>
      </w:r>
      <w:r>
        <w:rPr>
          <w:rFonts w:ascii="仿宋" w:hAnsi="仿宋" w:eastAsia="方正仿宋_GBK" w:cs="方正仿宋_GBK"/>
          <w:bCs/>
          <w:color w:val="auto"/>
          <w:sz w:val="32"/>
          <w:szCs w:val="32"/>
        </w:rPr>
        <w:t>）</w:t>
      </w:r>
      <w:r>
        <w:rPr>
          <w:rFonts w:hint="eastAsia" w:ascii="仿宋" w:hAnsi="仿宋" w:eastAsia="方正仿宋_GBK" w:cs="方正仿宋_GBK"/>
          <w:bCs/>
          <w:color w:val="auto"/>
          <w:sz w:val="32"/>
          <w:szCs w:val="32"/>
        </w:rPr>
        <w:t>为</w:t>
      </w:r>
      <w:r>
        <w:rPr>
          <w:rFonts w:hint="eastAsia" w:ascii="仿宋" w:hAnsi="仿宋" w:eastAsia="方正仿宋_GBK" w:cs="方正仿宋_GBK"/>
          <w:color w:val="auto"/>
          <w:sz w:val="32"/>
          <w:szCs w:val="32"/>
        </w:rPr>
        <w:t>省人大常委会2022年立法工作计划</w:t>
      </w:r>
      <w:r>
        <w:rPr>
          <w:rFonts w:hint="eastAsia" w:ascii="仿宋" w:hAnsi="仿宋" w:eastAsia="方正仿宋_GBK" w:cs="方正仿宋_GBK"/>
          <w:bCs/>
          <w:color w:val="auto"/>
          <w:sz w:val="32"/>
          <w:szCs w:val="32"/>
        </w:rPr>
        <w:t>，现将《条例（草案</w:t>
      </w:r>
      <w:r>
        <w:rPr>
          <w:rFonts w:hint="eastAsia" w:ascii="仿宋" w:hAnsi="仿宋" w:eastAsia="方正仿宋_GBK" w:cs="方正仿宋_GBK"/>
          <w:bCs/>
          <w:color w:val="auto"/>
          <w:sz w:val="32"/>
          <w:szCs w:val="32"/>
          <w:lang w:eastAsia="zh-CN"/>
        </w:rPr>
        <w:t>关审稿</w:t>
      </w:r>
      <w:r>
        <w:rPr>
          <w:rFonts w:hint="eastAsia" w:ascii="仿宋" w:hAnsi="仿宋" w:eastAsia="方正仿宋_GBK" w:cs="方正仿宋_GBK"/>
          <w:bCs/>
          <w:color w:val="auto"/>
          <w:sz w:val="32"/>
          <w:szCs w:val="32"/>
        </w:rPr>
        <w:t>）》起草情况</w:t>
      </w:r>
      <w:r>
        <w:rPr>
          <w:rFonts w:hint="eastAsia" w:ascii="仿宋" w:hAnsi="仿宋" w:eastAsia="方正仿宋_GBK" w:cs="方正仿宋_GBK"/>
          <w:bCs/>
          <w:color w:val="auto"/>
          <w:sz w:val="32"/>
          <w:szCs w:val="32"/>
          <w:lang w:eastAsia="zh-CN"/>
        </w:rPr>
        <w:t>说明</w:t>
      </w:r>
      <w:r>
        <w:rPr>
          <w:rFonts w:hint="eastAsia" w:ascii="仿宋" w:hAnsi="仿宋" w:eastAsia="方正仿宋_GBK" w:cs="方正仿宋_GBK"/>
          <w:bCs/>
          <w:color w:val="auto"/>
          <w:sz w:val="32"/>
          <w:szCs w:val="32"/>
        </w:rPr>
        <w:t>如下:</w:t>
      </w:r>
    </w:p>
    <w:p>
      <w:pPr>
        <w:keepNext w:val="0"/>
        <w:keepLines w:val="0"/>
        <w:pageBreakBefore w:val="0"/>
        <w:widowControl w:val="0"/>
        <w:kinsoku/>
        <w:overflowPunct w:val="0"/>
        <w:topLinePunct w:val="0"/>
        <w:autoSpaceDN/>
        <w:bidi w:val="0"/>
        <w:adjustRightInd/>
        <w:snapToGrid/>
        <w:spacing w:beforeAutospacing="0" w:line="560" w:lineRule="exact"/>
        <w:ind w:left="0" w:leftChars="0" w:firstLine="640" w:firstLineChars="200"/>
        <w:jc w:val="both"/>
        <w:textAlignment w:val="auto"/>
        <w:rPr>
          <w:rFonts w:ascii="仿宋" w:hAnsi="仿宋" w:eastAsia="方正黑体_GBK" w:cs="方正黑体_GBK"/>
          <w:color w:val="auto"/>
          <w:sz w:val="32"/>
          <w:szCs w:val="32"/>
        </w:rPr>
      </w:pPr>
      <w:r>
        <w:rPr>
          <w:rFonts w:hint="eastAsia" w:ascii="仿宋" w:hAnsi="仿宋" w:eastAsia="方正黑体_GBK" w:cs="方正黑体_GBK"/>
          <w:color w:val="auto"/>
          <w:sz w:val="32"/>
          <w:szCs w:val="32"/>
        </w:rPr>
        <w:t>一、</w:t>
      </w:r>
      <w:r>
        <w:rPr>
          <w:rFonts w:hint="eastAsia" w:ascii="仿宋" w:hAnsi="仿宋" w:eastAsia="方正黑体_GBK" w:cs="方正黑体_GBK"/>
          <w:color w:val="auto"/>
          <w:sz w:val="32"/>
          <w:szCs w:val="32"/>
          <w:lang w:eastAsia="zh-CN"/>
        </w:rPr>
        <w:t>《条例》</w:t>
      </w:r>
      <w:r>
        <w:rPr>
          <w:rFonts w:hint="eastAsia" w:ascii="仿宋" w:hAnsi="仿宋" w:eastAsia="方正黑体_GBK" w:cs="方正黑体_GBK"/>
          <w:color w:val="auto"/>
          <w:sz w:val="32"/>
          <w:szCs w:val="32"/>
        </w:rPr>
        <w:t>立法背景</w:t>
      </w:r>
    </w:p>
    <w:p>
      <w:pPr>
        <w:keepNext w:val="0"/>
        <w:keepLines w:val="0"/>
        <w:pageBreakBefore w:val="0"/>
        <w:widowControl w:val="0"/>
        <w:kinsoku/>
        <w:overflowPunct w:val="0"/>
        <w:topLinePunct w:val="0"/>
        <w:autoSpaceDN/>
        <w:bidi w:val="0"/>
        <w:adjustRightInd/>
        <w:snapToGrid/>
        <w:spacing w:beforeAutospacing="0" w:line="560" w:lineRule="exact"/>
        <w:ind w:left="0" w:leftChars="0" w:firstLine="640" w:firstLineChars="200"/>
        <w:jc w:val="both"/>
        <w:textAlignment w:val="auto"/>
        <w:rPr>
          <w:rFonts w:hint="eastAsia" w:ascii="仿宋" w:hAnsi="仿宋" w:eastAsia="方正仿宋_GBK" w:cs="宋体"/>
          <w:color w:val="auto"/>
          <w:kern w:val="0"/>
          <w:sz w:val="32"/>
          <w:szCs w:val="32"/>
        </w:rPr>
      </w:pPr>
      <w:r>
        <w:rPr>
          <w:rFonts w:hint="eastAsia" w:ascii="仿宋" w:hAnsi="仿宋" w:eastAsia="方正仿宋_GBK" w:cs="宋体"/>
          <w:color w:val="auto"/>
          <w:kern w:val="0"/>
          <w:sz w:val="32"/>
          <w:szCs w:val="32"/>
        </w:rPr>
        <w:t>城乡社区是社会治理的基本单元。城乡社区治理是社会治理的重要组成部分，是国家治理的基石，事关人民幸福安康，事关社会和谐稳定，事关党和国家长治久安。</w:t>
      </w:r>
    </w:p>
    <w:p>
      <w:pPr>
        <w:keepNext w:val="0"/>
        <w:keepLines w:val="0"/>
        <w:pageBreakBefore w:val="0"/>
        <w:widowControl w:val="0"/>
        <w:kinsoku/>
        <w:overflowPunct w:val="0"/>
        <w:topLinePunct w:val="0"/>
        <w:autoSpaceDN/>
        <w:bidi w:val="0"/>
        <w:adjustRightInd/>
        <w:snapToGrid/>
        <w:spacing w:beforeAutospacing="0" w:line="560" w:lineRule="exact"/>
        <w:ind w:left="0" w:leftChars="0" w:firstLine="640" w:firstLineChars="200"/>
        <w:jc w:val="both"/>
        <w:textAlignment w:val="auto"/>
        <w:rPr>
          <w:rFonts w:hint="eastAsia" w:ascii="仿宋" w:hAnsi="仿宋" w:eastAsia="方正仿宋_GBK" w:cs="宋体"/>
          <w:color w:val="auto"/>
          <w:kern w:val="0"/>
          <w:sz w:val="32"/>
          <w:szCs w:val="32"/>
        </w:rPr>
      </w:pPr>
      <w:r>
        <w:rPr>
          <w:rFonts w:hint="eastAsia" w:ascii="仿宋" w:hAnsi="仿宋" w:eastAsia="方正仿宋_GBK" w:cs="宋体"/>
          <w:color w:val="auto"/>
          <w:kern w:val="0"/>
          <w:sz w:val="32"/>
          <w:szCs w:val="32"/>
        </w:rPr>
        <w:t>习近平总书记一直高度关心关注城乡社区治理。近年来，习近平总书记多次主持召开会议，亲自谋划、亲自部署城乡社区治理工作，每到一地视察，都会深入街道乡镇、城乡社区</w:t>
      </w:r>
      <w:r>
        <w:rPr>
          <w:rFonts w:hint="eastAsia" w:ascii="仿宋" w:hAnsi="仿宋" w:eastAsia="方正仿宋_GBK" w:cs="宋体"/>
          <w:color w:val="auto"/>
          <w:kern w:val="0"/>
          <w:sz w:val="32"/>
          <w:szCs w:val="32"/>
          <w:lang w:eastAsia="zh-CN"/>
        </w:rPr>
        <w:t>，先后作出了系列重要论述和指示批示</w:t>
      </w:r>
      <w:r>
        <w:rPr>
          <w:rFonts w:hint="eastAsia" w:ascii="仿宋" w:hAnsi="仿宋" w:eastAsia="方正仿宋_GBK" w:cs="宋体"/>
          <w:color w:val="auto"/>
          <w:kern w:val="0"/>
          <w:sz w:val="32"/>
          <w:szCs w:val="32"/>
        </w:rPr>
        <w:t>。习近平总书记强调：“社区是基层基础，只有基础坚固，国家大厦才能稳固”，“社会治理的重心必须落到城乡社区，社区服务和管理能力强了，社会治理的基础就实了”。党的十八大第一次将社区治理写入党的纲领性文献</w:t>
      </w:r>
      <w:r>
        <w:rPr>
          <w:rFonts w:hint="eastAsia" w:ascii="仿宋" w:hAnsi="仿宋" w:eastAsia="方正仿宋_GBK" w:cs="宋体"/>
          <w:color w:val="auto"/>
          <w:kern w:val="0"/>
          <w:sz w:val="32"/>
          <w:szCs w:val="32"/>
          <w:lang w:eastAsia="zh-CN"/>
        </w:rPr>
        <w:t>，</w:t>
      </w:r>
      <w:r>
        <w:rPr>
          <w:rFonts w:hint="eastAsia" w:ascii="仿宋" w:hAnsi="仿宋" w:eastAsia="方正仿宋_GBK" w:cs="宋体"/>
          <w:color w:val="auto"/>
          <w:kern w:val="0"/>
          <w:sz w:val="32"/>
          <w:szCs w:val="32"/>
        </w:rPr>
        <w:t>党的十</w:t>
      </w:r>
      <w:r>
        <w:rPr>
          <w:rFonts w:ascii="仿宋" w:hAnsi="仿宋" w:eastAsia="方正仿宋_GBK" w:cs="宋体"/>
          <w:color w:val="auto"/>
          <w:kern w:val="0"/>
          <w:sz w:val="32"/>
          <w:szCs w:val="32"/>
        </w:rPr>
        <w:t>九大、</w:t>
      </w:r>
      <w:r>
        <w:rPr>
          <w:rFonts w:hint="eastAsia" w:ascii="仿宋" w:hAnsi="仿宋" w:eastAsia="方正仿宋_GBK" w:cs="宋体"/>
          <w:color w:val="auto"/>
          <w:kern w:val="0"/>
          <w:sz w:val="32"/>
          <w:szCs w:val="32"/>
        </w:rPr>
        <w:t>十九届四中全会对坚持和完善“共建共治共享”的社会治理制度、构建多元主</w:t>
      </w:r>
      <w:r>
        <w:rPr>
          <w:rFonts w:ascii="仿宋" w:hAnsi="仿宋" w:eastAsia="方正仿宋_GBK" w:cs="宋体"/>
          <w:color w:val="auto"/>
          <w:kern w:val="0"/>
          <w:sz w:val="32"/>
          <w:szCs w:val="32"/>
        </w:rPr>
        <w:t>体</w:t>
      </w:r>
      <w:r>
        <w:rPr>
          <w:rFonts w:hint="eastAsia" w:ascii="仿宋" w:hAnsi="仿宋" w:eastAsia="方正仿宋_GBK" w:cs="宋体"/>
          <w:color w:val="auto"/>
          <w:kern w:val="0"/>
          <w:sz w:val="32"/>
          <w:szCs w:val="32"/>
        </w:rPr>
        <w:t>共治机制，建设</w:t>
      </w:r>
      <w:r>
        <w:rPr>
          <w:rFonts w:ascii="仿宋" w:hAnsi="仿宋" w:eastAsia="方正仿宋_GBK" w:cs="宋体"/>
          <w:color w:val="auto"/>
          <w:kern w:val="0"/>
          <w:sz w:val="32"/>
          <w:szCs w:val="32"/>
        </w:rPr>
        <w:t>“</w:t>
      </w:r>
      <w:r>
        <w:rPr>
          <w:rFonts w:hint="eastAsia" w:ascii="仿宋" w:hAnsi="仿宋" w:eastAsia="方正仿宋_GBK" w:cs="宋体"/>
          <w:color w:val="auto"/>
          <w:kern w:val="0"/>
          <w:sz w:val="32"/>
          <w:szCs w:val="32"/>
        </w:rPr>
        <w:t>人人有责、人人尽责、人人享有的社会治理共同体</w:t>
      </w:r>
      <w:r>
        <w:rPr>
          <w:rFonts w:ascii="仿宋" w:hAnsi="仿宋" w:eastAsia="方正仿宋_GBK" w:cs="宋体"/>
          <w:color w:val="auto"/>
          <w:kern w:val="0"/>
          <w:sz w:val="32"/>
          <w:szCs w:val="32"/>
        </w:rPr>
        <w:t>”</w:t>
      </w:r>
      <w:r>
        <w:rPr>
          <w:rFonts w:hint="eastAsia" w:ascii="仿宋" w:hAnsi="仿宋" w:eastAsia="方正仿宋_GBK" w:cs="宋体"/>
          <w:color w:val="auto"/>
          <w:kern w:val="0"/>
          <w:sz w:val="32"/>
          <w:szCs w:val="32"/>
        </w:rPr>
        <w:t>作出了部署。</w:t>
      </w:r>
    </w:p>
    <w:p>
      <w:pPr>
        <w:keepNext w:val="0"/>
        <w:keepLines w:val="0"/>
        <w:pageBreakBefore w:val="0"/>
        <w:widowControl w:val="0"/>
        <w:kinsoku/>
        <w:overflowPunct w:val="0"/>
        <w:topLinePunct w:val="0"/>
        <w:autoSpaceDN/>
        <w:bidi w:val="0"/>
        <w:adjustRightInd/>
        <w:snapToGrid/>
        <w:spacing w:beforeAutospacing="0" w:line="560" w:lineRule="exact"/>
        <w:ind w:left="0" w:leftChars="0" w:firstLine="640" w:firstLineChars="200"/>
        <w:jc w:val="both"/>
        <w:textAlignment w:val="auto"/>
        <w:rPr>
          <w:rFonts w:hint="eastAsia" w:ascii="仿宋" w:hAnsi="仿宋" w:eastAsia="方正仿宋_GBK" w:cs="宋体"/>
          <w:color w:val="auto"/>
          <w:spacing w:val="-6"/>
          <w:kern w:val="0"/>
          <w:sz w:val="32"/>
          <w:szCs w:val="32"/>
        </w:rPr>
      </w:pPr>
      <w:r>
        <w:rPr>
          <w:rFonts w:hint="eastAsia" w:ascii="仿宋" w:hAnsi="仿宋" w:eastAsia="方正仿宋_GBK" w:cs="宋体"/>
          <w:color w:val="auto"/>
          <w:kern w:val="0"/>
          <w:sz w:val="32"/>
          <w:szCs w:val="32"/>
        </w:rPr>
        <w:t>随着我国经济体制、社会结构、利益格局、思想观念深刻变革，居（村）民委员会的工作对象、工作内容、工作职责也随之发生了深刻变化，城乡</w:t>
      </w:r>
      <w:r>
        <w:rPr>
          <w:rFonts w:ascii="仿宋" w:hAnsi="仿宋" w:eastAsia="方正仿宋_GBK" w:cs="宋体"/>
          <w:color w:val="auto"/>
          <w:kern w:val="0"/>
          <w:sz w:val="32"/>
          <w:szCs w:val="32"/>
        </w:rPr>
        <w:t>社区</w:t>
      </w:r>
      <w:r>
        <w:rPr>
          <w:rFonts w:hint="eastAsia" w:ascii="仿宋" w:hAnsi="仿宋" w:eastAsia="方正仿宋_GBK" w:cs="宋体"/>
          <w:color w:val="auto"/>
          <w:kern w:val="0"/>
          <w:sz w:val="32"/>
          <w:szCs w:val="32"/>
        </w:rPr>
        <w:t>治理</w:t>
      </w:r>
      <w:r>
        <w:rPr>
          <w:rFonts w:ascii="仿宋" w:hAnsi="仿宋" w:eastAsia="方正仿宋_GBK" w:cs="宋体"/>
          <w:color w:val="auto"/>
          <w:kern w:val="0"/>
          <w:sz w:val="32"/>
          <w:szCs w:val="32"/>
        </w:rPr>
        <w:t>的内容</w:t>
      </w:r>
      <w:r>
        <w:rPr>
          <w:rFonts w:hint="eastAsia" w:ascii="仿宋" w:hAnsi="仿宋" w:eastAsia="方正仿宋_GBK" w:cs="宋体"/>
          <w:color w:val="auto"/>
          <w:kern w:val="0"/>
          <w:sz w:val="32"/>
          <w:szCs w:val="32"/>
        </w:rPr>
        <w:t>远远超出了</w:t>
      </w:r>
      <w:r>
        <w:rPr>
          <w:rFonts w:ascii="仿宋" w:hAnsi="仿宋" w:eastAsia="方正仿宋_GBK" w:cs="宋体"/>
          <w:color w:val="auto"/>
          <w:kern w:val="0"/>
          <w:sz w:val="32"/>
          <w:szCs w:val="32"/>
        </w:rPr>
        <w:t>基层</w:t>
      </w:r>
      <w:r>
        <w:rPr>
          <w:rFonts w:hint="eastAsia" w:ascii="仿宋" w:hAnsi="仿宋" w:eastAsia="方正仿宋_GBK" w:cs="宋体"/>
          <w:color w:val="auto"/>
          <w:kern w:val="0"/>
          <w:sz w:val="32"/>
          <w:szCs w:val="32"/>
        </w:rPr>
        <w:t>群众</w:t>
      </w:r>
      <w:r>
        <w:rPr>
          <w:rFonts w:ascii="仿宋" w:hAnsi="仿宋" w:eastAsia="方正仿宋_GBK" w:cs="宋体"/>
          <w:color w:val="auto"/>
          <w:kern w:val="0"/>
          <w:sz w:val="32"/>
          <w:szCs w:val="32"/>
        </w:rPr>
        <w:t>自治的</w:t>
      </w:r>
      <w:r>
        <w:rPr>
          <w:rFonts w:hint="eastAsia" w:ascii="仿宋" w:hAnsi="仿宋" w:eastAsia="方正仿宋_GBK" w:cs="宋体"/>
          <w:color w:val="auto"/>
          <w:kern w:val="0"/>
          <w:sz w:val="32"/>
          <w:szCs w:val="32"/>
        </w:rPr>
        <w:t>公共事务和公益事业范畴</w:t>
      </w:r>
      <w:r>
        <w:rPr>
          <w:rFonts w:hint="eastAsia" w:ascii="仿宋" w:hAnsi="仿宋" w:eastAsia="方正仿宋_GBK" w:cs="宋体"/>
          <w:color w:val="auto"/>
          <w:kern w:val="0"/>
          <w:sz w:val="32"/>
          <w:szCs w:val="32"/>
          <w:lang w:eastAsia="zh-CN"/>
        </w:rPr>
        <w:t>，</w:t>
      </w:r>
      <w:r>
        <w:rPr>
          <w:rFonts w:hint="eastAsia" w:ascii="仿宋" w:hAnsi="仿宋" w:eastAsia="方正仿宋_GBK" w:cs="方正仿宋_GBK"/>
          <w:color w:val="auto"/>
          <w:sz w:val="32"/>
          <w:szCs w:val="32"/>
        </w:rPr>
        <w:t>现行的</w:t>
      </w:r>
      <w:r>
        <w:rPr>
          <w:rFonts w:hint="eastAsia" w:ascii="仿宋" w:hAnsi="仿宋" w:eastAsia="方正仿宋_GBK" w:cs="宋体"/>
          <w:color w:val="auto"/>
          <w:kern w:val="0"/>
          <w:sz w:val="32"/>
          <w:szCs w:val="32"/>
        </w:rPr>
        <w:t>《中华人民共和国城市居民委员会组织法》《中华人民共和国村民委员会组织法》</w:t>
      </w:r>
      <w:r>
        <w:rPr>
          <w:rFonts w:hint="eastAsia" w:ascii="仿宋" w:hAnsi="仿宋" w:eastAsia="方正仿宋_GBK" w:cs="宋体"/>
          <w:color w:val="auto"/>
          <w:kern w:val="0"/>
          <w:sz w:val="32"/>
          <w:szCs w:val="32"/>
          <w:lang w:eastAsia="zh-CN"/>
        </w:rPr>
        <w:t>（以下简称</w:t>
      </w:r>
      <w:r>
        <w:rPr>
          <w:rFonts w:hint="eastAsia" w:ascii="仿宋" w:hAnsi="仿宋" w:eastAsia="方正仿宋_GBK" w:cs="方正仿宋_GBK"/>
          <w:color w:val="auto"/>
          <w:kern w:val="2"/>
          <w:sz w:val="32"/>
          <w:szCs w:val="32"/>
          <w:lang w:val="en-US" w:eastAsia="zh-CN" w:bidi="ar-SA"/>
        </w:rPr>
        <w:t>《居组法》《村组法》</w:t>
      </w:r>
      <w:r>
        <w:rPr>
          <w:rFonts w:hint="eastAsia" w:ascii="仿宋" w:hAnsi="仿宋" w:eastAsia="方正仿宋_GBK" w:cs="宋体"/>
          <w:color w:val="auto"/>
          <w:kern w:val="0"/>
          <w:sz w:val="32"/>
          <w:szCs w:val="32"/>
          <w:lang w:eastAsia="zh-CN"/>
        </w:rPr>
        <w:t>）</w:t>
      </w:r>
      <w:r>
        <w:rPr>
          <w:rFonts w:hint="eastAsia" w:ascii="仿宋" w:hAnsi="仿宋" w:eastAsia="方正仿宋_GBK" w:cs="方正仿宋_GBK"/>
          <w:color w:val="auto"/>
          <w:sz w:val="32"/>
          <w:szCs w:val="32"/>
        </w:rPr>
        <w:t>已不能完全满足当前推进城乡社区治理法治化的</w:t>
      </w:r>
      <w:r>
        <w:rPr>
          <w:rFonts w:ascii="仿宋" w:hAnsi="仿宋" w:eastAsia="方正仿宋_GBK" w:cs="方正仿宋_GBK"/>
          <w:color w:val="auto"/>
          <w:sz w:val="32"/>
          <w:szCs w:val="32"/>
        </w:rPr>
        <w:t>需要</w:t>
      </w:r>
      <w:r>
        <w:rPr>
          <w:rFonts w:hint="eastAsia" w:ascii="仿宋" w:hAnsi="仿宋" w:eastAsia="方正仿宋_GBK" w:cs="方正仿宋_GBK"/>
          <w:color w:val="auto"/>
          <w:sz w:val="32"/>
          <w:szCs w:val="32"/>
        </w:rPr>
        <w:t>。</w:t>
      </w:r>
      <w:r>
        <w:rPr>
          <w:rFonts w:hint="eastAsia" w:ascii="仿宋" w:hAnsi="仿宋" w:eastAsia="方正仿宋_GBK" w:cs="宋体"/>
          <w:color w:val="auto"/>
          <w:kern w:val="0"/>
          <w:sz w:val="32"/>
          <w:szCs w:val="32"/>
        </w:rPr>
        <w:t>在2020年新冠肺炎疫情防控工作中，城乡社区作</w:t>
      </w:r>
      <w:r>
        <w:rPr>
          <w:rFonts w:hint="eastAsia" w:ascii="仿宋" w:hAnsi="仿宋" w:eastAsia="方正仿宋_GBK" w:cs="宋体"/>
          <w:color w:val="auto"/>
          <w:spacing w:val="-6"/>
          <w:kern w:val="0"/>
          <w:sz w:val="32"/>
          <w:szCs w:val="32"/>
        </w:rPr>
        <w:t>为疫情防控的前沿阵地，发挥了联防联控、群防群控的强大力量，凸显了城乡社区治理的重要作用，也暴露出社区治理的短板和不足。</w:t>
      </w:r>
    </w:p>
    <w:p>
      <w:pPr>
        <w:keepNext w:val="0"/>
        <w:keepLines w:val="0"/>
        <w:pageBreakBefore w:val="0"/>
        <w:widowControl w:val="0"/>
        <w:kinsoku/>
        <w:overflowPunct w:val="0"/>
        <w:topLinePunct w:val="0"/>
        <w:autoSpaceDN/>
        <w:bidi w:val="0"/>
        <w:adjustRightInd/>
        <w:snapToGrid/>
        <w:spacing w:beforeAutospacing="0" w:line="560" w:lineRule="exact"/>
        <w:ind w:left="0" w:leftChars="0" w:firstLine="640" w:firstLineChars="200"/>
        <w:jc w:val="both"/>
        <w:textAlignment w:val="auto"/>
        <w:rPr>
          <w:rFonts w:hint="default" w:ascii="仿宋" w:hAnsi="仿宋" w:eastAsia="方正仿宋_GBK" w:cs="宋体"/>
          <w:color w:val="auto"/>
          <w:kern w:val="0"/>
          <w:sz w:val="32"/>
          <w:szCs w:val="32"/>
          <w:lang w:val="en-US" w:eastAsia="zh-CN"/>
        </w:rPr>
      </w:pPr>
      <w:r>
        <w:rPr>
          <w:rFonts w:hint="eastAsia" w:ascii="仿宋" w:hAnsi="仿宋" w:eastAsia="方正仿宋_GBK" w:cs="宋体"/>
          <w:color w:val="auto"/>
          <w:kern w:val="0"/>
          <w:sz w:val="32"/>
          <w:szCs w:val="32"/>
        </w:rPr>
        <w:t>2020年3月10日，习近平总书记在视察湖北时强调，要</w:t>
      </w:r>
      <w:r>
        <w:rPr>
          <w:rFonts w:hint="eastAsia" w:ascii="仿宋" w:hAnsi="仿宋" w:eastAsia="方正仿宋_GBK" w:cs="方正仿宋_GBK"/>
          <w:color w:val="auto"/>
          <w:sz w:val="32"/>
          <w:szCs w:val="32"/>
        </w:rPr>
        <w:t>放眼长远，总结新冠肺炎疫情防控经验教训，加快补齐治理体系短板和弱项，</w:t>
      </w:r>
      <w:r>
        <w:rPr>
          <w:rFonts w:hint="eastAsia" w:ascii="仿宋" w:hAnsi="仿宋" w:eastAsia="方正仿宋_GBK" w:cs="宋体"/>
          <w:color w:val="auto"/>
          <w:kern w:val="0"/>
          <w:sz w:val="32"/>
          <w:szCs w:val="32"/>
        </w:rPr>
        <w:t>构建党组织领导的共建共治共享的基层治理格局。省委把这一要求作为习近平总书记交给湖北的必答题</w:t>
      </w:r>
      <w:r>
        <w:rPr>
          <w:rFonts w:hint="eastAsia" w:ascii="仿宋" w:hAnsi="仿宋" w:eastAsia="方正仿宋_GBK" w:cs="宋体"/>
          <w:color w:val="auto"/>
          <w:kern w:val="0"/>
          <w:sz w:val="32"/>
          <w:szCs w:val="32"/>
          <w:lang w:eastAsia="zh-CN"/>
        </w:rPr>
        <w:t>。省委十一届七次全会对党建引领基层治理进行了部署。</w:t>
      </w:r>
    </w:p>
    <w:p>
      <w:pPr>
        <w:keepNext w:val="0"/>
        <w:keepLines w:val="0"/>
        <w:pageBreakBefore w:val="0"/>
        <w:widowControl w:val="0"/>
        <w:kinsoku/>
        <w:overflowPunct w:val="0"/>
        <w:topLinePunct w:val="0"/>
        <w:autoSpaceDN/>
        <w:bidi w:val="0"/>
        <w:adjustRightInd/>
        <w:snapToGrid/>
        <w:spacing w:beforeAutospacing="0" w:line="560" w:lineRule="exact"/>
        <w:ind w:left="0" w:leftChars="0" w:firstLine="640" w:firstLineChars="200"/>
        <w:jc w:val="both"/>
        <w:textAlignment w:val="auto"/>
        <w:rPr>
          <w:rFonts w:hint="eastAsia" w:ascii="仿宋" w:hAnsi="仿宋" w:eastAsia="方正仿宋_GBK" w:cs="方正仿宋_GBK"/>
          <w:color w:val="auto"/>
          <w:sz w:val="32"/>
          <w:szCs w:val="32"/>
        </w:rPr>
      </w:pPr>
      <w:r>
        <w:rPr>
          <w:rFonts w:hint="eastAsia" w:ascii="仿宋" w:hAnsi="仿宋" w:eastAsia="方正仿宋_GBK" w:cs="方正仿宋_GBK"/>
          <w:color w:val="auto"/>
          <w:kern w:val="0"/>
          <w:sz w:val="32"/>
          <w:szCs w:val="32"/>
          <w:lang w:bidi="ar"/>
        </w:rPr>
        <w:t>为贯彻落实习近平总书记视察湖北重要讲话精神</w:t>
      </w:r>
      <w:r>
        <w:rPr>
          <w:rFonts w:hint="eastAsia" w:ascii="仿宋" w:hAnsi="仿宋" w:eastAsia="方正仿宋_GBK" w:cs="方正仿宋_GBK"/>
          <w:color w:val="auto"/>
          <w:sz w:val="32"/>
          <w:szCs w:val="32"/>
        </w:rPr>
        <w:t>和省委十一届七次全会精神，2020年11月，根据省人大有关申报立法项目的通知，我厅向省人大常委会申报了《条例》立法项目，省人大常委会将其列为2021年立法调研项目。</w:t>
      </w:r>
      <w:r>
        <w:rPr>
          <w:rFonts w:hint="eastAsia" w:ascii="仿宋" w:hAnsi="仿宋" w:eastAsia="方正仿宋_GBK" w:cs="方正仿宋_GBK"/>
          <w:color w:val="auto"/>
          <w:kern w:val="0"/>
          <w:sz w:val="32"/>
          <w:szCs w:val="32"/>
          <w:lang w:bidi="ar"/>
        </w:rPr>
        <w:t>省委深改委将其确定</w:t>
      </w:r>
      <w:r>
        <w:rPr>
          <w:rFonts w:hint="eastAsia" w:ascii="仿宋" w:hAnsi="仿宋" w:eastAsia="方正仿宋_GBK" w:cs="方正仿宋_GBK"/>
          <w:color w:val="auto"/>
          <w:sz w:val="32"/>
          <w:szCs w:val="32"/>
        </w:rPr>
        <w:t>为省委2021年重要改革项目。2021年5月31日，省委印发的《法治湖北建设规划（2021—2025年）》（鄂发〔2021〕17号）明确，2022年年底前出台《条例》。</w:t>
      </w:r>
      <w:r>
        <w:rPr>
          <w:rFonts w:hint="eastAsia" w:ascii="仿宋" w:hAnsi="仿宋" w:eastAsia="方正仿宋_GBK" w:cs="方正仿宋_GBK"/>
          <w:color w:val="auto"/>
          <w:sz w:val="32"/>
          <w:szCs w:val="32"/>
          <w:lang w:val="en-US" w:eastAsia="zh-CN"/>
        </w:rPr>
        <w:t>2021年，省民政厅配合省人大常委会赴浙江、上海等地开展了城乡社区治理考察，自主赴湖南等地并在省内广泛开展了调研。</w:t>
      </w:r>
      <w:r>
        <w:rPr>
          <w:rFonts w:hint="eastAsia" w:ascii="仿宋" w:hAnsi="仿宋" w:eastAsia="方正仿宋_GBK" w:cs="方正仿宋_GBK"/>
          <w:color w:val="auto"/>
          <w:sz w:val="32"/>
          <w:szCs w:val="32"/>
        </w:rPr>
        <w:t>2022年1月，省人大常委会将《条例》确定为2022年省人大常委会立法工作计划。</w:t>
      </w:r>
    </w:p>
    <w:p>
      <w:pPr>
        <w:keepNext w:val="0"/>
        <w:keepLines w:val="0"/>
        <w:pageBreakBefore w:val="0"/>
        <w:widowControl w:val="0"/>
        <w:kinsoku/>
        <w:topLinePunct w:val="0"/>
        <w:autoSpaceDE w:val="0"/>
        <w:autoSpaceDN/>
        <w:bidi w:val="0"/>
        <w:adjustRightInd/>
        <w:snapToGrid/>
        <w:spacing w:beforeAutospacing="0" w:line="560" w:lineRule="exact"/>
        <w:ind w:left="0" w:leftChars="0" w:firstLine="640" w:firstLineChars="200"/>
        <w:jc w:val="both"/>
        <w:textAlignment w:val="auto"/>
        <w:rPr>
          <w:rFonts w:hint="eastAsia" w:ascii="仿宋" w:hAnsi="仿宋" w:eastAsia="方正黑体_GBK"/>
          <w:color w:val="auto"/>
          <w:sz w:val="32"/>
          <w:szCs w:val="32"/>
        </w:rPr>
      </w:pPr>
      <w:r>
        <w:rPr>
          <w:rFonts w:hint="eastAsia" w:ascii="仿宋" w:hAnsi="仿宋" w:eastAsia="方正黑体_GBK"/>
          <w:color w:val="auto"/>
          <w:sz w:val="32"/>
          <w:szCs w:val="32"/>
        </w:rPr>
        <w:t>二、</w:t>
      </w:r>
      <w:r>
        <w:rPr>
          <w:rFonts w:hint="eastAsia" w:ascii="仿宋" w:hAnsi="仿宋" w:eastAsia="方正黑体_GBK" w:cs="方正黑体_GBK"/>
          <w:color w:val="auto"/>
          <w:sz w:val="32"/>
          <w:szCs w:val="32"/>
          <w:lang w:eastAsia="zh-CN"/>
        </w:rPr>
        <w:t>《条例》</w:t>
      </w:r>
      <w:r>
        <w:rPr>
          <w:rFonts w:hint="eastAsia" w:ascii="仿宋" w:hAnsi="仿宋" w:eastAsia="方正黑体_GBK"/>
          <w:color w:val="auto"/>
          <w:sz w:val="32"/>
          <w:szCs w:val="32"/>
        </w:rPr>
        <w:t>立法依据</w:t>
      </w:r>
    </w:p>
    <w:p>
      <w:pPr>
        <w:keepNext w:val="0"/>
        <w:keepLines w:val="0"/>
        <w:pageBreakBefore w:val="0"/>
        <w:widowControl w:val="0"/>
        <w:kinsoku/>
        <w:topLinePunct w:val="0"/>
        <w:autoSpaceDE w:val="0"/>
        <w:autoSpaceDN/>
        <w:bidi w:val="0"/>
        <w:adjustRightInd/>
        <w:snapToGrid/>
        <w:spacing w:beforeAutospacing="0" w:line="560" w:lineRule="exact"/>
        <w:ind w:left="0" w:leftChars="0" w:firstLine="640" w:firstLineChars="200"/>
        <w:jc w:val="both"/>
        <w:textAlignment w:val="auto"/>
        <w:rPr>
          <w:rFonts w:hint="eastAsia" w:ascii="仿宋" w:hAnsi="仿宋" w:eastAsia="方正仿宋_GBK" w:cs="宋体"/>
          <w:color w:val="auto"/>
          <w:kern w:val="0"/>
          <w:sz w:val="32"/>
          <w:szCs w:val="32"/>
        </w:rPr>
      </w:pPr>
      <w:r>
        <w:rPr>
          <w:rFonts w:hint="eastAsia" w:ascii="仿宋" w:hAnsi="仿宋" w:eastAsia="方正仿宋_GBK"/>
          <w:color w:val="auto"/>
          <w:sz w:val="32"/>
          <w:szCs w:val="32"/>
        </w:rPr>
        <w:t>《中华人民共和国宪法》第一百一十一条规定，城市和农村按居民居住地区设立的居民委员会或者村民委员会是基层群众性自治组织，居民委员会、村民委员会办理本居住地区的公共事务和公益事业，调解民间纠纷，协助维护社会治安，并且向人民政府反映群众的意见、要求和提出建议。</w:t>
      </w:r>
      <w:r>
        <w:rPr>
          <w:rFonts w:hint="eastAsia" w:ascii="仿宋" w:hAnsi="仿宋" w:eastAsia="方正仿宋_GBK" w:cs="方正仿宋_GBK"/>
          <w:color w:val="auto"/>
          <w:kern w:val="2"/>
          <w:sz w:val="32"/>
          <w:szCs w:val="32"/>
          <w:lang w:val="en-US" w:eastAsia="zh-CN" w:bidi="ar-SA"/>
        </w:rPr>
        <w:t>《居组法》《村组法》</w:t>
      </w:r>
      <w:r>
        <w:rPr>
          <w:rFonts w:hint="eastAsia" w:ascii="仿宋" w:hAnsi="仿宋" w:eastAsia="方正仿宋_GBK"/>
          <w:color w:val="auto"/>
          <w:sz w:val="32"/>
          <w:szCs w:val="32"/>
        </w:rPr>
        <w:t>也作出相应规定。</w:t>
      </w:r>
      <w:r>
        <w:rPr>
          <w:rFonts w:hint="eastAsia" w:ascii="仿宋" w:hAnsi="仿宋" w:eastAsia="方正仿宋_GBK" w:cs="宋体"/>
          <w:color w:val="auto"/>
          <w:kern w:val="0"/>
          <w:sz w:val="32"/>
          <w:szCs w:val="32"/>
        </w:rPr>
        <w:t>近年来，党中央、国务院先后印发了《关于加强和完善城乡社区治理的意见》《关于加强基层治理体系和治理能力现代化建设的意见》，对城乡社区治理工作进行安排部署。</w:t>
      </w:r>
    </w:p>
    <w:p>
      <w:pPr>
        <w:keepNext w:val="0"/>
        <w:keepLines w:val="0"/>
        <w:pageBreakBefore w:val="0"/>
        <w:widowControl w:val="0"/>
        <w:kinsoku/>
        <w:topLinePunct w:val="0"/>
        <w:autoSpaceDE w:val="0"/>
        <w:autoSpaceDN/>
        <w:bidi w:val="0"/>
        <w:adjustRightInd/>
        <w:snapToGrid/>
        <w:spacing w:beforeAutospacing="0" w:line="560" w:lineRule="exact"/>
        <w:ind w:left="0" w:leftChars="0" w:firstLine="640" w:firstLineChars="200"/>
        <w:jc w:val="both"/>
        <w:textAlignment w:val="auto"/>
        <w:rPr>
          <w:rFonts w:hint="eastAsia" w:ascii="仿宋" w:hAnsi="仿宋" w:eastAsia="方正仿宋_GBK"/>
          <w:color w:val="auto"/>
          <w:sz w:val="31"/>
          <w:szCs w:val="31"/>
        </w:rPr>
      </w:pPr>
      <w:r>
        <w:rPr>
          <w:rFonts w:hint="eastAsia" w:ascii="仿宋" w:hAnsi="仿宋" w:eastAsia="方正仿宋_GBK" w:cs="宋体"/>
          <w:color w:val="auto"/>
          <w:kern w:val="0"/>
          <w:sz w:val="32"/>
          <w:szCs w:val="32"/>
        </w:rPr>
        <w:t>2020年</w:t>
      </w:r>
      <w:r>
        <w:rPr>
          <w:rFonts w:hint="eastAsia" w:ascii="仿宋" w:hAnsi="仿宋" w:eastAsia="仿宋" w:cs="宋体"/>
          <w:color w:val="auto"/>
          <w:kern w:val="0"/>
          <w:sz w:val="32"/>
          <w:szCs w:val="32"/>
        </w:rPr>
        <w:t>6</w:t>
      </w:r>
      <w:r>
        <w:rPr>
          <w:rFonts w:hint="eastAsia" w:ascii="仿宋" w:hAnsi="仿宋" w:eastAsia="方正仿宋_GBK" w:cs="宋体"/>
          <w:color w:val="auto"/>
          <w:kern w:val="0"/>
          <w:sz w:val="32"/>
          <w:szCs w:val="32"/>
        </w:rPr>
        <w:t>月，省委召开十一届七次全会，先后出台了《中共湖北省委关于贯彻落实党的十九届四中全会精神、推进省域治理现代化的决定》《关于深化新时代党建引领加强基层社会治理的意见》等“</w:t>
      </w:r>
      <w:r>
        <w:rPr>
          <w:rFonts w:hint="eastAsia" w:ascii="仿宋" w:hAnsi="仿宋" w:eastAsia="仿宋" w:cs="宋体"/>
          <w:color w:val="auto"/>
          <w:kern w:val="0"/>
          <w:sz w:val="32"/>
          <w:szCs w:val="32"/>
        </w:rPr>
        <w:t>1+1+5</w:t>
      </w:r>
      <w:r>
        <w:rPr>
          <w:rFonts w:hint="eastAsia" w:ascii="仿宋" w:hAnsi="仿宋" w:eastAsia="方正仿宋_GBK" w:cs="宋体"/>
          <w:color w:val="auto"/>
          <w:kern w:val="0"/>
          <w:sz w:val="32"/>
          <w:szCs w:val="32"/>
        </w:rPr>
        <w:t>”系列政策文件，</w:t>
      </w:r>
      <w:r>
        <w:rPr>
          <w:rFonts w:hint="eastAsia" w:ascii="仿宋" w:hAnsi="仿宋" w:eastAsia="仿宋" w:cs="宋体"/>
          <w:color w:val="auto"/>
          <w:kern w:val="0"/>
          <w:sz w:val="32"/>
          <w:szCs w:val="32"/>
        </w:rPr>
        <w:t>2021</w:t>
      </w:r>
      <w:r>
        <w:rPr>
          <w:rFonts w:hint="eastAsia" w:ascii="仿宋" w:hAnsi="仿宋" w:eastAsia="方正仿宋_GBK" w:cs="宋体"/>
          <w:color w:val="auto"/>
          <w:kern w:val="0"/>
          <w:sz w:val="32"/>
          <w:szCs w:val="32"/>
        </w:rPr>
        <w:t>年</w:t>
      </w:r>
      <w:r>
        <w:rPr>
          <w:rFonts w:hint="eastAsia" w:ascii="仿宋" w:hAnsi="仿宋" w:eastAsia="仿宋" w:cs="宋体"/>
          <w:color w:val="auto"/>
          <w:kern w:val="0"/>
          <w:sz w:val="32"/>
          <w:szCs w:val="32"/>
        </w:rPr>
        <w:t>10</w:t>
      </w:r>
      <w:r>
        <w:rPr>
          <w:rFonts w:hint="eastAsia" w:ascii="仿宋" w:hAnsi="仿宋" w:eastAsia="方正仿宋_GBK" w:cs="宋体"/>
          <w:color w:val="auto"/>
          <w:kern w:val="0"/>
          <w:sz w:val="32"/>
          <w:szCs w:val="32"/>
        </w:rPr>
        <w:t>月，省委办公厅、省政府办公厅印发</w:t>
      </w:r>
      <w:r>
        <w:rPr>
          <w:rFonts w:hint="eastAsia" w:ascii="仿宋" w:hAnsi="仿宋" w:eastAsia="方正仿宋_GBK"/>
          <w:color w:val="auto"/>
          <w:kern w:val="0"/>
          <w:sz w:val="31"/>
          <w:szCs w:val="31"/>
        </w:rPr>
        <w:t>《关于深入推进党建引领乡村治理促进</w:t>
      </w:r>
      <w:r>
        <w:rPr>
          <w:rFonts w:hint="eastAsia" w:ascii="仿宋" w:hAnsi="仿宋" w:eastAsia="方正仿宋_GBK"/>
          <w:color w:val="auto"/>
          <w:sz w:val="31"/>
          <w:szCs w:val="31"/>
        </w:rPr>
        <w:t>乡村振兴的实施意见》，为构建城乡基层社会治理体系提供了政策保障。</w:t>
      </w:r>
    </w:p>
    <w:p>
      <w:pPr>
        <w:keepNext w:val="0"/>
        <w:keepLines w:val="0"/>
        <w:pageBreakBefore w:val="0"/>
        <w:widowControl w:val="0"/>
        <w:kinsoku/>
        <w:topLinePunct w:val="0"/>
        <w:autoSpaceDE/>
        <w:autoSpaceDN/>
        <w:bidi w:val="0"/>
        <w:adjustRightInd/>
        <w:snapToGrid/>
        <w:spacing w:beforeAutospacing="0" w:line="560" w:lineRule="exact"/>
        <w:ind w:left="0" w:leftChars="0" w:firstLine="660" w:firstLineChars="0"/>
        <w:jc w:val="both"/>
        <w:textAlignment w:val="auto"/>
        <w:rPr>
          <w:rFonts w:hint="eastAsia" w:ascii="仿宋" w:hAnsi="仿宋" w:eastAsia="方正仿宋_GBK"/>
          <w:color w:val="auto"/>
          <w:sz w:val="31"/>
          <w:szCs w:val="31"/>
        </w:rPr>
      </w:pPr>
      <w:r>
        <w:rPr>
          <w:rFonts w:hint="eastAsia" w:ascii="仿宋" w:hAnsi="仿宋" w:eastAsia="方正仿宋_GBK" w:cs="宋体"/>
          <w:color w:val="auto"/>
          <w:kern w:val="0"/>
          <w:sz w:val="32"/>
          <w:szCs w:val="32"/>
        </w:rPr>
        <w:t>目前，城乡社区治理在制度层面，形成了以《宪法》为根本、以</w:t>
      </w:r>
      <w:r>
        <w:rPr>
          <w:rFonts w:hint="eastAsia" w:ascii="仿宋" w:hAnsi="仿宋" w:eastAsia="方正仿宋_GBK" w:cs="方正仿宋_GBK"/>
          <w:color w:val="auto"/>
          <w:kern w:val="2"/>
          <w:sz w:val="32"/>
          <w:szCs w:val="32"/>
          <w:lang w:val="en-US" w:eastAsia="zh-CN" w:bidi="ar-SA"/>
        </w:rPr>
        <w:t>《居组法》《村组法》</w:t>
      </w:r>
      <w:r>
        <w:rPr>
          <w:rFonts w:hint="eastAsia" w:ascii="仿宋" w:hAnsi="仿宋" w:eastAsia="方正仿宋_GBK" w:cs="宋体"/>
          <w:color w:val="auto"/>
          <w:kern w:val="0"/>
          <w:sz w:val="32"/>
          <w:szCs w:val="32"/>
        </w:rPr>
        <w:t>和我省实施办法为主干，各层级规范性文件为补充，由法律、规章、政策文件三个层次构成的法律法规政策体系，</w:t>
      </w:r>
      <w:r>
        <w:rPr>
          <w:rFonts w:hint="eastAsia" w:ascii="仿宋" w:hAnsi="仿宋" w:eastAsia="方正仿宋_GBK"/>
          <w:color w:val="auto"/>
          <w:sz w:val="31"/>
          <w:szCs w:val="31"/>
        </w:rPr>
        <w:t>相关</w:t>
      </w:r>
      <w:r>
        <w:rPr>
          <w:rFonts w:hint="eastAsia" w:ascii="仿宋" w:hAnsi="仿宋" w:eastAsia="方正仿宋_GBK" w:cs="宋体"/>
          <w:color w:val="auto"/>
          <w:kern w:val="0"/>
          <w:sz w:val="32"/>
          <w:szCs w:val="32"/>
        </w:rPr>
        <w:t>法律、法规、政策文件</w:t>
      </w:r>
      <w:r>
        <w:rPr>
          <w:rFonts w:hint="eastAsia" w:ascii="仿宋" w:hAnsi="仿宋" w:eastAsia="方正仿宋_GBK"/>
          <w:color w:val="auto"/>
          <w:sz w:val="31"/>
          <w:szCs w:val="31"/>
        </w:rPr>
        <w:t>为《条例》立法</w:t>
      </w:r>
      <w:r>
        <w:rPr>
          <w:rFonts w:hint="eastAsia" w:ascii="仿宋" w:hAnsi="仿宋" w:eastAsia="方正仿宋_GBK" w:cs="方正楷体_GBK"/>
          <w:color w:val="auto"/>
          <w:sz w:val="32"/>
          <w:szCs w:val="32"/>
        </w:rPr>
        <w:t>提供了依据和支撑</w:t>
      </w:r>
      <w:r>
        <w:rPr>
          <w:rFonts w:hint="eastAsia" w:ascii="仿宋" w:hAnsi="仿宋" w:eastAsia="方正仿宋_GBK"/>
          <w:color w:val="auto"/>
          <w:sz w:val="31"/>
          <w:szCs w:val="31"/>
        </w:rPr>
        <w:t>。</w:t>
      </w:r>
    </w:p>
    <w:p>
      <w:pPr>
        <w:keepNext w:val="0"/>
        <w:keepLines w:val="0"/>
        <w:pageBreakBefore w:val="0"/>
        <w:widowControl w:val="0"/>
        <w:kinsoku/>
        <w:topLinePunct w:val="0"/>
        <w:autoSpaceDE/>
        <w:autoSpaceDN/>
        <w:bidi w:val="0"/>
        <w:adjustRightInd/>
        <w:snapToGrid/>
        <w:spacing w:beforeAutospacing="0" w:line="560" w:lineRule="exact"/>
        <w:ind w:left="0" w:leftChars="0" w:firstLine="660" w:firstLineChars="0"/>
        <w:jc w:val="both"/>
        <w:textAlignment w:val="auto"/>
        <w:rPr>
          <w:rFonts w:hint="eastAsia" w:ascii="仿宋" w:hAnsi="仿宋" w:eastAsia="方正仿宋_GBK" w:cs="宋体"/>
          <w:color w:val="auto"/>
          <w:kern w:val="0"/>
          <w:sz w:val="32"/>
          <w:szCs w:val="32"/>
        </w:rPr>
      </w:pPr>
      <w:r>
        <w:rPr>
          <w:rFonts w:hint="eastAsia" w:ascii="仿宋" w:hAnsi="仿宋" w:eastAsia="方正仿宋_GBK" w:cs="方正仿宋_GBK"/>
          <w:color w:val="auto"/>
          <w:kern w:val="2"/>
          <w:sz w:val="32"/>
          <w:szCs w:val="32"/>
          <w:lang w:val="en-US" w:eastAsia="zh-CN" w:bidi="ar"/>
        </w:rPr>
        <w:t>近年来，外地在社区治理方面也有立法探索。如，上海市出台了《上海市城市居民委员会工作条例》、浙江省出台了《关于推进和规范社区社会组织参与基层社会治理的决定》、四川省成都市出台了《社区发展治理促进条例》、太原市出台了《城乡社区治理促进条例》等。我省各市县</w:t>
      </w:r>
      <w:r>
        <w:rPr>
          <w:rFonts w:hint="eastAsia" w:ascii="仿宋_GB2312"/>
          <w:bCs/>
          <w:color w:val="auto"/>
          <w:sz w:val="32"/>
          <w:szCs w:val="32"/>
          <w:lang w:eastAsia="zh-CN"/>
        </w:rPr>
        <w:t>贯彻落实中央和省委省政府关于社区治理的决策部署，</w:t>
      </w:r>
      <w:r>
        <w:rPr>
          <w:rFonts w:ascii="仿宋_GB2312" w:eastAsia="仿宋_GB2312"/>
          <w:bCs/>
          <w:color w:val="auto"/>
          <w:sz w:val="32"/>
          <w:szCs w:val="32"/>
        </w:rPr>
        <w:t>探索</w:t>
      </w:r>
      <w:r>
        <w:rPr>
          <w:rFonts w:hint="eastAsia" w:ascii="仿宋_GB2312" w:eastAsia="仿宋_GB2312"/>
          <w:bCs/>
          <w:color w:val="auto"/>
          <w:sz w:val="32"/>
          <w:szCs w:val="32"/>
        </w:rPr>
        <w:t>并</w:t>
      </w:r>
      <w:r>
        <w:rPr>
          <w:rFonts w:ascii="仿宋_GB2312" w:eastAsia="仿宋_GB2312"/>
          <w:bCs/>
          <w:color w:val="auto"/>
          <w:sz w:val="32"/>
          <w:szCs w:val="32"/>
        </w:rPr>
        <w:t>积累了</w:t>
      </w:r>
      <w:r>
        <w:rPr>
          <w:rFonts w:hint="eastAsia" w:ascii="仿宋_GB2312" w:eastAsia="仿宋_GB2312"/>
          <w:bCs/>
          <w:color w:val="auto"/>
          <w:sz w:val="32"/>
          <w:szCs w:val="32"/>
        </w:rPr>
        <w:t>很多</w:t>
      </w:r>
      <w:r>
        <w:rPr>
          <w:rFonts w:ascii="仿宋_GB2312" w:eastAsia="仿宋_GB2312"/>
          <w:bCs/>
          <w:color w:val="auto"/>
          <w:sz w:val="32"/>
          <w:szCs w:val="32"/>
        </w:rPr>
        <w:t>好的</w:t>
      </w:r>
      <w:r>
        <w:rPr>
          <w:rFonts w:hint="eastAsia" w:ascii="仿宋_GB2312" w:eastAsia="仿宋_GB2312"/>
          <w:bCs/>
          <w:color w:val="auto"/>
          <w:sz w:val="32"/>
          <w:szCs w:val="32"/>
        </w:rPr>
        <w:t>成功</w:t>
      </w:r>
      <w:r>
        <w:rPr>
          <w:rFonts w:ascii="仿宋_GB2312" w:eastAsia="仿宋_GB2312"/>
          <w:bCs/>
          <w:color w:val="auto"/>
          <w:sz w:val="32"/>
          <w:szCs w:val="32"/>
        </w:rPr>
        <w:t>经验</w:t>
      </w:r>
      <w:r>
        <w:rPr>
          <w:rFonts w:hint="eastAsia" w:ascii="仿宋_GB2312" w:eastAsia="仿宋_GB2312"/>
          <w:bCs/>
          <w:color w:val="auto"/>
          <w:sz w:val="32"/>
          <w:szCs w:val="32"/>
        </w:rPr>
        <w:t>，</w:t>
      </w:r>
      <w:r>
        <w:rPr>
          <w:rFonts w:hint="eastAsia" w:ascii="仿宋" w:hAnsi="仿宋" w:eastAsia="方正仿宋_GBK" w:cs="方正仿宋_GBK"/>
          <w:color w:val="auto"/>
          <w:kern w:val="2"/>
          <w:sz w:val="32"/>
          <w:szCs w:val="32"/>
          <w:lang w:val="en-US" w:eastAsia="zh-CN" w:bidi="ar"/>
        </w:rPr>
        <w:t>这些都为《条例》的制定提供了可资借鉴的范例。</w:t>
      </w:r>
    </w:p>
    <w:p>
      <w:pPr>
        <w:keepNext w:val="0"/>
        <w:keepLines w:val="0"/>
        <w:pageBreakBefore w:val="0"/>
        <w:widowControl w:val="0"/>
        <w:suppressLineNumbers w:val="0"/>
        <w:kinsoku/>
        <w:overflowPunct w:val="0"/>
        <w:topLinePunct w:val="0"/>
        <w:autoSpaceDN/>
        <w:bidi w:val="0"/>
        <w:adjustRightInd/>
        <w:snapToGrid/>
        <w:spacing w:beforeAutospacing="0" w:afterAutospacing="0" w:line="560" w:lineRule="exact"/>
        <w:ind w:left="0" w:leftChars="0" w:right="0" w:firstLine="640" w:firstLineChars="200"/>
        <w:jc w:val="both"/>
        <w:textAlignment w:val="auto"/>
        <w:rPr>
          <w:rFonts w:hint="eastAsia" w:ascii="仿宋" w:hAnsi="仿宋" w:eastAsia="方正黑体_GBK" w:cs="仿宋"/>
          <w:color w:val="auto"/>
          <w:kern w:val="0"/>
          <w:sz w:val="32"/>
          <w:szCs w:val="32"/>
          <w:u w:val="single"/>
          <w:lang w:val="en-US"/>
        </w:rPr>
      </w:pPr>
      <w:r>
        <w:rPr>
          <w:rFonts w:hint="eastAsia" w:ascii="仿宋" w:hAnsi="仿宋" w:eastAsia="方正黑体_GBK"/>
          <w:color w:val="auto"/>
          <w:sz w:val="32"/>
          <w:szCs w:val="32"/>
          <w:u w:val="none"/>
          <w:lang w:eastAsia="zh-CN"/>
        </w:rPr>
        <w:t>三</w:t>
      </w:r>
      <w:r>
        <w:rPr>
          <w:rFonts w:hint="eastAsia" w:ascii="仿宋" w:hAnsi="仿宋" w:eastAsia="方正黑体_GBK"/>
          <w:color w:val="auto"/>
          <w:sz w:val="32"/>
          <w:szCs w:val="32"/>
          <w:u w:val="none"/>
        </w:rPr>
        <w:t>、</w:t>
      </w:r>
      <w:r>
        <w:rPr>
          <w:rFonts w:hint="eastAsia" w:ascii="仿宋" w:hAnsi="仿宋" w:eastAsia="方正黑体_GBK" w:cs="仿宋"/>
          <w:color w:val="auto"/>
          <w:kern w:val="0"/>
          <w:sz w:val="32"/>
          <w:szCs w:val="32"/>
          <w:u w:val="none"/>
          <w:lang w:val="en-US" w:eastAsia="zh-CN" w:bidi="ar"/>
        </w:rPr>
        <w:t>《条例》草案起草过程</w:t>
      </w:r>
    </w:p>
    <w:p>
      <w:pPr>
        <w:keepNext w:val="0"/>
        <w:keepLines w:val="0"/>
        <w:pageBreakBefore w:val="0"/>
        <w:widowControl w:val="0"/>
        <w:kinsoku/>
        <w:topLinePunct w:val="0"/>
        <w:autoSpaceDE w:val="0"/>
        <w:autoSpaceDN/>
        <w:bidi w:val="0"/>
        <w:adjustRightInd/>
        <w:snapToGrid/>
        <w:spacing w:beforeAutospacing="0" w:line="560" w:lineRule="exact"/>
        <w:ind w:left="0" w:leftChars="0" w:firstLine="640" w:firstLineChars="200"/>
        <w:jc w:val="both"/>
        <w:textAlignment w:val="auto"/>
        <w:rPr>
          <w:rFonts w:hint="default" w:ascii="仿宋" w:hAnsi="仿宋" w:eastAsia="方正黑体_GBK"/>
          <w:color w:val="auto"/>
          <w:sz w:val="32"/>
          <w:szCs w:val="32"/>
          <w:lang w:val="en-US"/>
        </w:rPr>
      </w:pPr>
      <w:r>
        <w:rPr>
          <w:rFonts w:hint="eastAsia" w:ascii="仿宋" w:hAnsi="仿宋" w:eastAsia="方正仿宋_GBK" w:cs="方正仿宋_GBK"/>
          <w:color w:val="auto"/>
          <w:kern w:val="2"/>
          <w:sz w:val="32"/>
          <w:szCs w:val="32"/>
          <w:u w:val="none"/>
          <w:lang w:val="en-US" w:eastAsia="zh-CN" w:bidi="ar"/>
        </w:rPr>
        <w:t>根据</w:t>
      </w:r>
      <w:r>
        <w:rPr>
          <w:rFonts w:hint="eastAsia" w:ascii="仿宋" w:hAnsi="仿宋" w:eastAsia="方正仿宋_GBK" w:cs="方正仿宋_GBK"/>
          <w:color w:val="auto"/>
          <w:spacing w:val="-4"/>
          <w:kern w:val="2"/>
          <w:sz w:val="32"/>
          <w:szCs w:val="32"/>
          <w:u w:val="none"/>
          <w:lang w:val="en-US" w:eastAsia="zh-CN" w:bidi="ar"/>
        </w:rPr>
        <w:t>2022年1月省人大常委会召开的2022年度立法项目推进会精神和有关通知要求，成立了起草工作领导小组和工作专班，</w:t>
      </w:r>
      <w:r>
        <w:rPr>
          <w:rFonts w:hint="eastAsia" w:ascii="仿宋" w:hAnsi="仿宋" w:eastAsia="方正仿宋_GBK" w:cs="方正仿宋_GBK"/>
          <w:color w:val="auto"/>
          <w:kern w:val="2"/>
          <w:sz w:val="32"/>
          <w:szCs w:val="32"/>
          <w:u w:val="none"/>
          <w:lang w:val="en-US" w:eastAsia="zh-CN" w:bidi="ar"/>
        </w:rPr>
        <w:t>省民政厅会同省司法厅、省人大社会建设委员会及时研究草拟了《条例》立法起草工作方案，分别呈报省政府和省人大常委会办公厅。2月至3月，在前期立法调研的基础上，形成了《条例（草案征求意见稿）》，书面征求了各市州民政部门意见。2月下旬至3月上旬，省民政厅与省司法厅多次对接研讨。3月8日，省司法厅曾群副厅长到省民政厅调研《条例》立法工作。3月23日，省民政厅组织《条例》法规项目起草工作专班有关人员并邀请华中师范大学、湖北大学等在汉有关专家召开研讨会，对《条例（草案征求意见稿）》逐条进行研讨和修改。</w:t>
      </w:r>
      <w:r>
        <w:rPr>
          <w:rFonts w:hint="eastAsia" w:ascii="仿宋" w:hAnsi="仿宋" w:eastAsia="方正仿宋_GBK" w:cs="仿宋"/>
          <w:color w:val="auto"/>
          <w:kern w:val="2"/>
          <w:sz w:val="32"/>
          <w:szCs w:val="32"/>
          <w:u w:val="none"/>
          <w:lang w:val="en-US" w:eastAsia="zh-CN" w:bidi="ar"/>
        </w:rPr>
        <w:t>4</w:t>
      </w:r>
      <w:r>
        <w:rPr>
          <w:rFonts w:hint="eastAsia" w:ascii="仿宋" w:hAnsi="仿宋" w:eastAsia="方正仿宋_GBK" w:cs="方正仿宋_GBK"/>
          <w:color w:val="auto"/>
          <w:kern w:val="2"/>
          <w:sz w:val="32"/>
          <w:szCs w:val="32"/>
          <w:u w:val="none"/>
          <w:lang w:val="en-US" w:eastAsia="zh-CN" w:bidi="ar"/>
        </w:rPr>
        <w:t>月</w:t>
      </w:r>
      <w:r>
        <w:rPr>
          <w:rFonts w:hint="eastAsia" w:ascii="仿宋" w:hAnsi="仿宋" w:eastAsia="方正仿宋_GBK" w:cs="仿宋"/>
          <w:color w:val="auto"/>
          <w:kern w:val="2"/>
          <w:sz w:val="32"/>
          <w:szCs w:val="32"/>
          <w:u w:val="none"/>
          <w:lang w:val="en-US" w:eastAsia="zh-CN" w:bidi="ar"/>
        </w:rPr>
        <w:t>22</w:t>
      </w:r>
      <w:r>
        <w:rPr>
          <w:rFonts w:hint="eastAsia" w:ascii="仿宋" w:hAnsi="仿宋" w:eastAsia="方正仿宋_GBK" w:cs="方正仿宋_GBK"/>
          <w:color w:val="auto"/>
          <w:kern w:val="2"/>
          <w:sz w:val="32"/>
          <w:szCs w:val="32"/>
          <w:u w:val="none"/>
          <w:lang w:val="en-US" w:eastAsia="zh-CN" w:bidi="ar"/>
        </w:rPr>
        <w:t>日，省民政厅召开厅党组会对《条例》进行专题审议。</w:t>
      </w:r>
      <w:r>
        <w:rPr>
          <w:rFonts w:hint="eastAsia" w:ascii="仿宋" w:hAnsi="仿宋" w:eastAsia="方正仿宋_GBK" w:cs="仿宋"/>
          <w:color w:val="auto"/>
          <w:kern w:val="2"/>
          <w:sz w:val="32"/>
          <w:szCs w:val="32"/>
          <w:u w:val="none"/>
          <w:lang w:val="en-US" w:eastAsia="zh-CN" w:bidi="ar"/>
        </w:rPr>
        <w:t>4</w:t>
      </w:r>
      <w:r>
        <w:rPr>
          <w:rFonts w:hint="eastAsia" w:ascii="仿宋" w:hAnsi="仿宋" w:eastAsia="方正仿宋_GBK" w:cs="方正仿宋_GBK"/>
          <w:color w:val="auto"/>
          <w:kern w:val="2"/>
          <w:sz w:val="32"/>
          <w:szCs w:val="32"/>
          <w:u w:val="none"/>
          <w:lang w:val="en-US" w:eastAsia="zh-CN" w:bidi="ar"/>
        </w:rPr>
        <w:t>月</w:t>
      </w:r>
      <w:r>
        <w:rPr>
          <w:rFonts w:hint="eastAsia" w:ascii="仿宋" w:hAnsi="仿宋" w:eastAsia="方正仿宋_GBK" w:cs="仿宋"/>
          <w:color w:val="auto"/>
          <w:kern w:val="2"/>
          <w:sz w:val="32"/>
          <w:szCs w:val="32"/>
          <w:u w:val="none"/>
          <w:lang w:val="en-US" w:eastAsia="zh-CN" w:bidi="ar"/>
        </w:rPr>
        <w:t>23</w:t>
      </w:r>
      <w:r>
        <w:rPr>
          <w:rFonts w:hint="eastAsia" w:ascii="仿宋" w:hAnsi="仿宋" w:eastAsia="方正仿宋_GBK" w:cs="方正仿宋_GBK"/>
          <w:color w:val="auto"/>
          <w:kern w:val="2"/>
          <w:sz w:val="32"/>
          <w:szCs w:val="32"/>
          <w:u w:val="none"/>
          <w:lang w:val="en-US" w:eastAsia="zh-CN" w:bidi="ar"/>
        </w:rPr>
        <w:t>日至</w:t>
      </w:r>
      <w:r>
        <w:rPr>
          <w:rFonts w:hint="eastAsia" w:ascii="仿宋" w:hAnsi="仿宋" w:eastAsia="方正仿宋_GBK" w:cs="仿宋"/>
          <w:color w:val="auto"/>
          <w:kern w:val="2"/>
          <w:sz w:val="32"/>
          <w:szCs w:val="32"/>
          <w:u w:val="none"/>
          <w:lang w:val="en-US" w:eastAsia="zh-CN" w:bidi="ar"/>
        </w:rPr>
        <w:t>25</w:t>
      </w:r>
      <w:r>
        <w:rPr>
          <w:rFonts w:hint="eastAsia" w:ascii="仿宋" w:hAnsi="仿宋" w:eastAsia="方正仿宋_GBK" w:cs="方正仿宋_GBK"/>
          <w:color w:val="auto"/>
          <w:kern w:val="2"/>
          <w:sz w:val="32"/>
          <w:szCs w:val="32"/>
          <w:u w:val="none"/>
          <w:lang w:val="en-US" w:eastAsia="zh-CN" w:bidi="ar"/>
        </w:rPr>
        <w:t>日，征求了武汉市部分街道、社区（村）干部群众的意见。</w:t>
      </w:r>
      <w:r>
        <w:rPr>
          <w:rFonts w:hint="eastAsia" w:ascii="仿宋" w:hAnsi="仿宋" w:eastAsia="方正仿宋_GBK" w:cs="仿宋"/>
          <w:color w:val="auto"/>
          <w:kern w:val="2"/>
          <w:sz w:val="32"/>
          <w:szCs w:val="32"/>
          <w:u w:val="none"/>
          <w:lang w:val="en-US" w:eastAsia="zh-CN" w:bidi="ar"/>
        </w:rPr>
        <w:t>4</w:t>
      </w:r>
      <w:r>
        <w:rPr>
          <w:rFonts w:hint="eastAsia" w:ascii="仿宋" w:hAnsi="仿宋" w:eastAsia="方正仿宋_GBK" w:cs="方正仿宋_GBK"/>
          <w:color w:val="auto"/>
          <w:kern w:val="2"/>
          <w:sz w:val="32"/>
          <w:szCs w:val="32"/>
          <w:u w:val="none"/>
          <w:lang w:val="en-US" w:eastAsia="zh-CN" w:bidi="ar"/>
        </w:rPr>
        <w:t>月</w:t>
      </w:r>
      <w:r>
        <w:rPr>
          <w:rFonts w:hint="eastAsia" w:ascii="仿宋" w:hAnsi="仿宋" w:eastAsia="方正仿宋_GBK" w:cs="仿宋"/>
          <w:color w:val="auto"/>
          <w:kern w:val="2"/>
          <w:sz w:val="32"/>
          <w:szCs w:val="32"/>
          <w:u w:val="none"/>
          <w:lang w:val="en-US" w:eastAsia="zh-CN" w:bidi="ar"/>
        </w:rPr>
        <w:t>26</w:t>
      </w:r>
      <w:r>
        <w:rPr>
          <w:rFonts w:hint="eastAsia" w:ascii="仿宋" w:hAnsi="仿宋" w:eastAsia="方正仿宋_GBK" w:cs="方正仿宋_GBK"/>
          <w:color w:val="auto"/>
          <w:kern w:val="2"/>
          <w:sz w:val="32"/>
          <w:szCs w:val="32"/>
          <w:u w:val="none"/>
          <w:lang w:val="en-US" w:eastAsia="zh-CN" w:bidi="ar"/>
        </w:rPr>
        <w:t>日，经报告省人大常委会党组副书记、副主任梁伟年、省人民政府杨云彦副省长两位组长同意，召开了《条例》立法项目起草领导小组暨工作专班会，对《条例》主要内容进行了研讨。</w:t>
      </w:r>
      <w:r>
        <w:rPr>
          <w:rFonts w:hint="default" w:ascii="仿宋" w:hAnsi="仿宋" w:eastAsia="方正仿宋_GBK" w:cs="方正仿宋_GBK"/>
          <w:color w:val="auto"/>
          <w:kern w:val="2"/>
          <w:sz w:val="32"/>
          <w:szCs w:val="32"/>
          <w:u w:val="none"/>
          <w:lang w:val="en" w:eastAsia="zh-CN" w:bidi="ar"/>
        </w:rPr>
        <w:t>5</w:t>
      </w:r>
      <w:r>
        <w:rPr>
          <w:rFonts w:hint="eastAsia" w:ascii="仿宋" w:hAnsi="仿宋" w:eastAsia="方正仿宋_GBK" w:cs="方正仿宋_GBK"/>
          <w:color w:val="auto"/>
          <w:kern w:val="2"/>
          <w:sz w:val="32"/>
          <w:szCs w:val="32"/>
          <w:u w:val="none"/>
          <w:lang w:val="en" w:eastAsia="zh-CN" w:bidi="ar"/>
        </w:rPr>
        <w:t>月</w:t>
      </w:r>
      <w:r>
        <w:rPr>
          <w:rFonts w:hint="eastAsia" w:ascii="仿宋" w:hAnsi="仿宋" w:eastAsia="方正仿宋_GBK" w:cs="方正仿宋_GBK"/>
          <w:color w:val="auto"/>
          <w:kern w:val="2"/>
          <w:sz w:val="32"/>
          <w:szCs w:val="32"/>
          <w:u w:val="none"/>
          <w:lang w:val="en-US" w:eastAsia="zh-CN" w:bidi="ar"/>
        </w:rPr>
        <w:t>6日，杨云彦副省长专题研究《条例》立法草案起草工作，省民政厅根据会议精神对《条例》草案进行了修改完善，形成《条例（草案送审稿）》。</w:t>
      </w:r>
    </w:p>
    <w:p>
      <w:pPr>
        <w:keepNext w:val="0"/>
        <w:keepLines w:val="0"/>
        <w:pageBreakBefore w:val="0"/>
        <w:widowControl w:val="0"/>
        <w:numPr>
          <w:ilvl w:val="0"/>
          <w:numId w:val="0"/>
        </w:numPr>
        <w:kinsoku/>
        <w:topLinePunct w:val="0"/>
        <w:autoSpaceDE w:val="0"/>
        <w:autoSpaceDN/>
        <w:bidi w:val="0"/>
        <w:adjustRightInd/>
        <w:snapToGrid/>
        <w:spacing w:beforeAutospacing="0" w:line="560" w:lineRule="exact"/>
        <w:ind w:left="0" w:leftChars="0" w:firstLine="640" w:firstLineChars="200"/>
        <w:jc w:val="both"/>
        <w:textAlignment w:val="auto"/>
        <w:rPr>
          <w:rFonts w:hint="eastAsia" w:ascii="仿宋" w:hAnsi="仿宋" w:eastAsia="方正黑体_GBK" w:cs="Times New Roman"/>
          <w:color w:val="auto"/>
          <w:kern w:val="2"/>
          <w:sz w:val="32"/>
          <w:szCs w:val="32"/>
          <w:lang w:val="en-US" w:eastAsia="zh-CN" w:bidi="ar"/>
        </w:rPr>
      </w:pPr>
      <w:r>
        <w:rPr>
          <w:rFonts w:hint="eastAsia" w:ascii="仿宋" w:hAnsi="仿宋" w:eastAsia="方正黑体_GBK" w:cs="Times New Roman"/>
          <w:color w:val="auto"/>
          <w:kern w:val="2"/>
          <w:sz w:val="32"/>
          <w:szCs w:val="32"/>
          <w:lang w:val="en-US" w:eastAsia="zh-CN" w:bidi="ar"/>
        </w:rPr>
        <w:t>四、《条例》立法拟重点解决的主要问题</w:t>
      </w:r>
    </w:p>
    <w:p>
      <w:pPr>
        <w:keepNext w:val="0"/>
        <w:keepLines w:val="0"/>
        <w:pageBreakBefore w:val="0"/>
        <w:widowControl w:val="0"/>
        <w:kinsoku/>
        <w:topLinePunct w:val="0"/>
        <w:autoSpaceDE w:val="0"/>
        <w:autoSpaceDN/>
        <w:bidi w:val="0"/>
        <w:adjustRightInd/>
        <w:snapToGrid/>
        <w:spacing w:beforeAutospacing="0" w:line="560" w:lineRule="exact"/>
        <w:ind w:left="0" w:leftChars="0" w:firstLine="620" w:firstLineChars="200"/>
        <w:jc w:val="both"/>
        <w:textAlignment w:val="auto"/>
        <w:rPr>
          <w:rFonts w:hint="eastAsia" w:ascii="仿宋" w:hAnsi="仿宋" w:eastAsia="方正仿宋_GBK" w:cs="宋体"/>
          <w:color w:val="auto"/>
          <w:kern w:val="0"/>
          <w:sz w:val="32"/>
          <w:szCs w:val="32"/>
        </w:rPr>
      </w:pPr>
      <w:r>
        <w:rPr>
          <w:rFonts w:hint="eastAsia" w:ascii="仿宋" w:hAnsi="仿宋" w:eastAsia="方正仿宋_GBK"/>
          <w:color w:val="auto"/>
          <w:kern w:val="0"/>
          <w:sz w:val="31"/>
          <w:szCs w:val="31"/>
        </w:rPr>
        <w:t>《</w:t>
      </w:r>
      <w:r>
        <w:rPr>
          <w:rFonts w:hint="eastAsia" w:ascii="仿宋" w:hAnsi="仿宋" w:eastAsia="方正仿宋_GBK"/>
          <w:color w:val="auto"/>
          <w:sz w:val="31"/>
          <w:szCs w:val="31"/>
        </w:rPr>
        <w:t>条例</w:t>
      </w:r>
      <w:r>
        <w:rPr>
          <w:rFonts w:hint="eastAsia" w:ascii="仿宋" w:hAnsi="仿宋" w:eastAsia="方正仿宋_GBK"/>
          <w:color w:val="auto"/>
          <w:kern w:val="0"/>
          <w:sz w:val="31"/>
          <w:szCs w:val="31"/>
        </w:rPr>
        <w:t>》</w:t>
      </w:r>
      <w:r>
        <w:rPr>
          <w:rFonts w:hint="eastAsia" w:ascii="仿宋" w:hAnsi="仿宋" w:eastAsia="方正仿宋_GBK"/>
          <w:color w:val="auto"/>
          <w:sz w:val="31"/>
          <w:szCs w:val="31"/>
        </w:rPr>
        <w:t>在遵循有关法律基础上，一方面将现行城乡社区治理政策和行之有效的普遍做法，上升、固化为地方法</w:t>
      </w:r>
      <w:r>
        <w:rPr>
          <w:rFonts w:hint="eastAsia" w:ascii="仿宋" w:hAnsi="仿宋" w:eastAsia="方正仿宋_GBK"/>
          <w:color w:val="auto"/>
          <w:sz w:val="31"/>
          <w:szCs w:val="31"/>
          <w:lang w:eastAsia="zh-CN"/>
        </w:rPr>
        <w:t>规。</w:t>
      </w:r>
      <w:r>
        <w:rPr>
          <w:rFonts w:hint="eastAsia" w:ascii="仿宋" w:hAnsi="仿宋" w:eastAsia="方正仿宋_GBK"/>
          <w:color w:val="auto"/>
          <w:sz w:val="31"/>
          <w:szCs w:val="31"/>
        </w:rPr>
        <w:t>一方面聚焦、推动解决当前城乡社区治理中存在的短板和不足</w:t>
      </w:r>
      <w:r>
        <w:rPr>
          <w:rFonts w:hint="eastAsia" w:ascii="仿宋" w:hAnsi="仿宋" w:eastAsia="方正仿宋_GBK"/>
          <w:color w:val="auto"/>
          <w:sz w:val="31"/>
          <w:szCs w:val="31"/>
          <w:lang w:eastAsia="zh-CN"/>
        </w:rPr>
        <w:t>。</w:t>
      </w:r>
      <w:r>
        <w:rPr>
          <w:rFonts w:hint="eastAsia" w:ascii="仿宋" w:hAnsi="仿宋" w:eastAsia="方正仿宋_GBK"/>
          <w:color w:val="auto"/>
          <w:sz w:val="31"/>
          <w:szCs w:val="31"/>
        </w:rPr>
        <w:t>当前城乡社区治理需要通过立法推动解决的主要问题是：</w:t>
      </w:r>
    </w:p>
    <w:p>
      <w:pPr>
        <w:keepNext w:val="0"/>
        <w:keepLines w:val="0"/>
        <w:pageBreakBefore w:val="0"/>
        <w:widowControl w:val="0"/>
        <w:kinsoku/>
        <w:topLinePunct w:val="0"/>
        <w:autoSpaceDN/>
        <w:bidi w:val="0"/>
        <w:adjustRightInd/>
        <w:snapToGrid/>
        <w:spacing w:beforeAutospacing="0" w:line="560" w:lineRule="exact"/>
        <w:ind w:left="0" w:leftChars="0" w:firstLine="640" w:firstLineChars="200"/>
        <w:jc w:val="both"/>
        <w:textAlignment w:val="auto"/>
        <w:rPr>
          <w:rFonts w:hint="eastAsia" w:ascii="仿宋" w:hAnsi="仿宋" w:eastAsia="方正仿宋_GBK" w:cs="方正仿宋_GBK"/>
          <w:color w:val="auto"/>
          <w:sz w:val="32"/>
          <w:szCs w:val="32"/>
        </w:rPr>
      </w:pPr>
      <w:r>
        <w:rPr>
          <w:rFonts w:hint="eastAsia" w:ascii="仿宋" w:hAnsi="仿宋" w:eastAsia="方正楷体_GBK"/>
          <w:color w:val="auto"/>
          <w:sz w:val="32"/>
          <w:szCs w:val="32"/>
        </w:rPr>
        <w:t>（一）基层政府在社区建设方面的主体责任没有完全到位。</w:t>
      </w:r>
      <w:r>
        <w:rPr>
          <w:rFonts w:hint="eastAsia" w:ascii="仿宋" w:hAnsi="仿宋" w:eastAsia="方正仿宋_GBK" w:cs="宋体"/>
          <w:color w:val="auto"/>
          <w:kern w:val="0"/>
          <w:sz w:val="32"/>
          <w:szCs w:val="32"/>
        </w:rPr>
        <w:t>各地对城乡社区规划没有引起足够重视，很多城市新建小区对社区综合服务设施配建不到位</w:t>
      </w:r>
      <w:r>
        <w:rPr>
          <w:rFonts w:hint="eastAsia" w:ascii="仿宋" w:hAnsi="仿宋" w:eastAsia="方正仿宋_GBK" w:cs="宋体"/>
          <w:color w:val="auto"/>
          <w:kern w:val="0"/>
          <w:sz w:val="32"/>
          <w:szCs w:val="32"/>
          <w:lang w:eastAsia="zh-CN"/>
        </w:rPr>
        <w:t>或</w:t>
      </w:r>
      <w:r>
        <w:rPr>
          <w:rFonts w:hint="eastAsia" w:ascii="仿宋" w:hAnsi="仿宋" w:eastAsia="方正仿宋_GBK" w:cs="宋体"/>
          <w:color w:val="auto"/>
          <w:kern w:val="0"/>
          <w:sz w:val="32"/>
          <w:szCs w:val="32"/>
        </w:rPr>
        <w:t>比较零散，老旧小区置换、购买综合服务设施也十分困难。</w:t>
      </w:r>
      <w:r>
        <w:rPr>
          <w:rFonts w:hint="eastAsia" w:ascii="仿宋" w:hAnsi="仿宋" w:eastAsia="方正仿宋_GBK" w:cs="宋体"/>
          <w:color w:val="auto"/>
          <w:kern w:val="0"/>
          <w:sz w:val="32"/>
          <w:szCs w:val="32"/>
          <w:u w:val="none"/>
          <w:lang w:val="en-US" w:eastAsia="zh-CN"/>
        </w:rPr>
        <w:t>目前，全省</w:t>
      </w:r>
      <w:r>
        <w:rPr>
          <w:rFonts w:hint="eastAsia" w:ascii="仿宋" w:hAnsi="仿宋" w:eastAsia="方正仿宋_GBK" w:cs="宋体"/>
          <w:color w:val="auto"/>
          <w:kern w:val="0"/>
          <w:sz w:val="32"/>
          <w:szCs w:val="32"/>
          <w:u w:val="none"/>
          <w:lang w:eastAsia="zh-CN"/>
        </w:rPr>
        <w:t>城乡社区</w:t>
      </w:r>
      <w:r>
        <w:rPr>
          <w:rFonts w:hint="eastAsia" w:ascii="仿宋" w:hAnsi="仿宋" w:eastAsia="方正仿宋_GBK" w:cs="宋体"/>
          <w:color w:val="auto"/>
          <w:kern w:val="0"/>
          <w:sz w:val="32"/>
          <w:szCs w:val="32"/>
          <w:u w:val="none"/>
          <w:lang w:val="en-US" w:eastAsia="zh-CN"/>
        </w:rPr>
        <w:t>综合服务设施面积达标覆盖率不到80%，每万城镇常住人口拥有社区工作者约16.8人，</w:t>
      </w:r>
      <w:r>
        <w:rPr>
          <w:rFonts w:hint="eastAsia" w:ascii="仿宋" w:hAnsi="仿宋" w:eastAsia="方正仿宋_GBK" w:cs="宋体"/>
          <w:color w:val="auto"/>
          <w:kern w:val="0"/>
          <w:sz w:val="32"/>
          <w:szCs w:val="32"/>
        </w:rPr>
        <w:t>社区人才队伍职业化建设才刚刚起步，专业化建设亟待加强，部分地方基层群众自治组织规范化建设也有待加强</w:t>
      </w:r>
      <w:r>
        <w:rPr>
          <w:rFonts w:hint="eastAsia" w:ascii="仿宋" w:hAnsi="仿宋" w:eastAsia="方正仿宋_GBK"/>
          <w:color w:val="auto"/>
          <w:sz w:val="32"/>
          <w:szCs w:val="32"/>
        </w:rPr>
        <w:t>。</w:t>
      </w:r>
    </w:p>
    <w:p>
      <w:pPr>
        <w:keepNext w:val="0"/>
        <w:keepLines w:val="0"/>
        <w:pageBreakBefore w:val="0"/>
        <w:widowControl w:val="0"/>
        <w:kinsoku/>
        <w:topLinePunct w:val="0"/>
        <w:autoSpaceDN/>
        <w:bidi w:val="0"/>
        <w:adjustRightInd/>
        <w:snapToGrid/>
        <w:spacing w:beforeAutospacing="0" w:line="560" w:lineRule="exact"/>
        <w:ind w:left="0" w:leftChars="0" w:firstLine="640" w:firstLineChars="200"/>
        <w:jc w:val="both"/>
        <w:textAlignment w:val="auto"/>
        <w:rPr>
          <w:rFonts w:hint="eastAsia" w:ascii="仿宋" w:hAnsi="仿宋" w:eastAsia="方正仿宋_GBK" w:cs="方正仿宋_GBK"/>
          <w:color w:val="auto"/>
          <w:sz w:val="32"/>
          <w:szCs w:val="32"/>
        </w:rPr>
      </w:pPr>
      <w:r>
        <w:rPr>
          <w:rFonts w:hint="eastAsia" w:ascii="仿宋" w:hAnsi="仿宋" w:eastAsia="方正楷体_GBK"/>
          <w:color w:val="auto"/>
          <w:sz w:val="32"/>
          <w:szCs w:val="32"/>
        </w:rPr>
        <w:t>（二）城乡社区服务供给不足。</w:t>
      </w:r>
      <w:r>
        <w:rPr>
          <w:rFonts w:hint="eastAsia" w:ascii="仿宋" w:hAnsi="仿宋" w:eastAsia="方正仿宋_GBK"/>
          <w:color w:val="auto"/>
          <w:sz w:val="32"/>
          <w:szCs w:val="32"/>
        </w:rPr>
        <w:t>社区是党和政府服务群众</w:t>
      </w:r>
      <w:r>
        <w:rPr>
          <w:rFonts w:hint="eastAsia" w:ascii="仿宋" w:hAnsi="仿宋" w:eastAsia="方正仿宋_GBK"/>
          <w:color w:val="auto"/>
          <w:sz w:val="32"/>
          <w:szCs w:val="32"/>
          <w:lang w:eastAsia="zh-CN"/>
        </w:rPr>
        <w:t>“</w:t>
      </w:r>
      <w:r>
        <w:rPr>
          <w:rFonts w:hint="eastAsia" w:ascii="仿宋" w:hAnsi="仿宋" w:eastAsia="方正仿宋_GBK"/>
          <w:color w:val="auto"/>
          <w:sz w:val="32"/>
          <w:szCs w:val="32"/>
        </w:rPr>
        <w:t>最后一公里</w:t>
      </w:r>
      <w:r>
        <w:rPr>
          <w:rFonts w:hint="eastAsia" w:ascii="仿宋" w:hAnsi="仿宋" w:eastAsia="方正仿宋_GBK"/>
          <w:color w:val="auto"/>
          <w:sz w:val="32"/>
          <w:szCs w:val="32"/>
          <w:lang w:eastAsia="zh-CN"/>
        </w:rPr>
        <w:t>”</w:t>
      </w:r>
      <w:r>
        <w:rPr>
          <w:rFonts w:hint="eastAsia" w:ascii="仿宋" w:hAnsi="仿宋" w:eastAsia="方正仿宋_GBK"/>
          <w:color w:val="auto"/>
          <w:sz w:val="32"/>
          <w:szCs w:val="32"/>
        </w:rPr>
        <w:t>，城乡社区服务</w:t>
      </w:r>
      <w:r>
        <w:rPr>
          <w:rFonts w:hint="eastAsia" w:ascii="仿宋" w:hAnsi="仿宋" w:eastAsia="方正仿宋_GBK"/>
          <w:color w:val="auto"/>
          <w:sz w:val="32"/>
          <w:szCs w:val="32"/>
          <w:lang w:eastAsia="zh-CN"/>
        </w:rPr>
        <w:t>是</w:t>
      </w:r>
      <w:r>
        <w:rPr>
          <w:rFonts w:hint="eastAsia" w:ascii="仿宋" w:hAnsi="仿宋" w:eastAsia="方正仿宋_GBK"/>
          <w:color w:val="auto"/>
          <w:sz w:val="32"/>
          <w:szCs w:val="32"/>
        </w:rPr>
        <w:t>城乡社区治理的出发点和落脚点。从当前实践看，城乡社区服务仍然存在供给不畅通、保障不到位以及城乡发展不平衡等问题。当前亟需加强城乡社区公共服务，促进便民利民服务，规范物业服务，发展志愿服务，推动城乡公共服务均等化。要完善扶持政策，大力发</w:t>
      </w:r>
      <w:r>
        <w:rPr>
          <w:rFonts w:hint="eastAsia" w:ascii="仿宋" w:hAnsi="仿宋" w:eastAsia="方正仿宋_GBK"/>
          <w:color w:val="auto"/>
          <w:spacing w:val="-4"/>
          <w:sz w:val="32"/>
          <w:szCs w:val="32"/>
        </w:rPr>
        <w:t>展各类社区社会组织，支持其在城乡社区开展纠纷调解、健康养老、教育培训、公益慈善、防灾减灾、文体娱乐、邻里互助、居民融入及农村生产技术服务等活动，增强城乡社区服务群众的实效。</w:t>
      </w:r>
    </w:p>
    <w:p>
      <w:pPr>
        <w:keepNext w:val="0"/>
        <w:keepLines w:val="0"/>
        <w:pageBreakBefore w:val="0"/>
        <w:widowControl w:val="0"/>
        <w:kinsoku/>
        <w:topLinePunct w:val="0"/>
        <w:autoSpaceDN/>
        <w:bidi w:val="0"/>
        <w:adjustRightInd/>
        <w:snapToGrid/>
        <w:spacing w:beforeAutospacing="0" w:line="560" w:lineRule="exact"/>
        <w:ind w:left="0" w:leftChars="0" w:firstLine="640" w:firstLineChars="200"/>
        <w:jc w:val="both"/>
        <w:textAlignment w:val="auto"/>
        <w:rPr>
          <w:rFonts w:ascii="仿宋" w:hAnsi="仿宋" w:eastAsia="方正仿宋_GBK"/>
          <w:color w:val="auto"/>
          <w:spacing w:val="-4"/>
          <w:sz w:val="32"/>
          <w:szCs w:val="32"/>
        </w:rPr>
      </w:pPr>
      <w:r>
        <w:rPr>
          <w:rFonts w:hint="eastAsia" w:ascii="仿宋" w:hAnsi="仿宋" w:eastAsia="方正楷体_GBK"/>
          <w:color w:val="auto"/>
          <w:sz w:val="32"/>
          <w:szCs w:val="32"/>
        </w:rPr>
        <w:t>（三）城乡社区治理机制不健全。</w:t>
      </w:r>
      <w:r>
        <w:rPr>
          <w:rFonts w:hint="eastAsia" w:ascii="仿宋" w:hAnsi="仿宋" w:eastAsia="方正仿宋_GBK"/>
          <w:color w:val="auto"/>
          <w:spacing w:val="-4"/>
          <w:sz w:val="32"/>
          <w:szCs w:val="32"/>
        </w:rPr>
        <w:t>少数地方党建引领、政府主导机制不健全，相当一部分地方基层群众自我管理、自我服务、自我教育、自我监督的自治机制还没有完全建立起来，多数地方社会力量参与社区治理的协同机制还在探索，社区</w:t>
      </w:r>
      <w:r>
        <w:rPr>
          <w:rFonts w:hint="eastAsia" w:ascii="仿宋" w:hAnsi="仿宋" w:eastAsia="方正仿宋_GBK"/>
          <w:color w:val="auto"/>
          <w:spacing w:val="-4"/>
          <w:sz w:val="32"/>
          <w:szCs w:val="32"/>
          <w:lang w:eastAsia="zh-CN"/>
        </w:rPr>
        <w:t>居</w:t>
      </w:r>
      <w:r>
        <w:rPr>
          <w:rFonts w:hint="eastAsia" w:ascii="仿宋" w:hAnsi="仿宋" w:eastAsia="方正仿宋_GBK"/>
          <w:color w:val="auto"/>
          <w:spacing w:val="-4"/>
          <w:sz w:val="32"/>
          <w:szCs w:val="32"/>
        </w:rPr>
        <w:t>委会、</w:t>
      </w:r>
      <w:r>
        <w:rPr>
          <w:rFonts w:hint="eastAsia" w:ascii="仿宋" w:hAnsi="仿宋" w:eastAsia="方正仿宋_GBK"/>
          <w:color w:val="auto"/>
          <w:spacing w:val="-4"/>
          <w:sz w:val="32"/>
          <w:szCs w:val="32"/>
          <w:lang w:eastAsia="zh-CN"/>
        </w:rPr>
        <w:t>业委会</w:t>
      </w:r>
      <w:r>
        <w:rPr>
          <w:rFonts w:hint="eastAsia" w:ascii="仿宋" w:hAnsi="仿宋" w:eastAsia="方正仿宋_GBK"/>
          <w:color w:val="auto"/>
          <w:spacing w:val="-4"/>
          <w:sz w:val="32"/>
          <w:szCs w:val="32"/>
        </w:rPr>
        <w:t>、物业服务企业</w:t>
      </w:r>
      <w:r>
        <w:rPr>
          <w:rFonts w:hint="eastAsia" w:ascii="仿宋" w:hAnsi="仿宋" w:eastAsia="方正仿宋_GBK"/>
          <w:color w:val="auto"/>
          <w:spacing w:val="-4"/>
          <w:sz w:val="32"/>
          <w:szCs w:val="32"/>
          <w:lang w:eastAsia="zh-CN"/>
        </w:rPr>
        <w:t>三方</w:t>
      </w:r>
      <w:r>
        <w:rPr>
          <w:rFonts w:hint="eastAsia" w:ascii="仿宋" w:hAnsi="仿宋" w:eastAsia="方正仿宋_GBK"/>
          <w:color w:val="auto"/>
          <w:spacing w:val="-4"/>
          <w:sz w:val="32"/>
          <w:szCs w:val="32"/>
        </w:rPr>
        <w:t>联动机制有待完善。急需建立健全党组织统一领导、政府依法履责、各类组织积极协同、群众广泛参与、自治法治德治相结合、常态化管理和应急管理动态衔接的社区治理机制。</w:t>
      </w:r>
    </w:p>
    <w:p>
      <w:pPr>
        <w:keepNext w:val="0"/>
        <w:keepLines w:val="0"/>
        <w:pageBreakBefore w:val="0"/>
        <w:widowControl w:val="0"/>
        <w:kinsoku/>
        <w:topLinePunct w:val="0"/>
        <w:autoSpaceDN/>
        <w:bidi w:val="0"/>
        <w:adjustRightInd/>
        <w:snapToGrid/>
        <w:spacing w:beforeAutospacing="0" w:line="560" w:lineRule="exact"/>
        <w:ind w:left="0" w:leftChars="0" w:firstLine="624" w:firstLineChars="200"/>
        <w:jc w:val="both"/>
        <w:textAlignment w:val="auto"/>
        <w:rPr>
          <w:rFonts w:ascii="仿宋" w:hAnsi="仿宋" w:eastAsia="方正仿宋_GBK"/>
          <w:color w:val="auto"/>
          <w:spacing w:val="-4"/>
          <w:sz w:val="32"/>
          <w:szCs w:val="32"/>
        </w:rPr>
      </w:pPr>
      <w:r>
        <w:rPr>
          <w:rFonts w:hint="eastAsia" w:ascii="仿宋" w:hAnsi="仿宋" w:eastAsia="方正楷体_GBK"/>
          <w:color w:val="auto"/>
          <w:spacing w:val="-4"/>
          <w:sz w:val="32"/>
          <w:szCs w:val="32"/>
        </w:rPr>
        <w:t>（四）城乡社区工作者职业化缺乏法律保障。</w:t>
      </w:r>
      <w:r>
        <w:rPr>
          <w:rFonts w:hint="eastAsia" w:ascii="仿宋" w:hAnsi="仿宋" w:eastAsia="方正仿宋_GBK"/>
          <w:color w:val="auto"/>
          <w:spacing w:val="-4"/>
          <w:sz w:val="32"/>
          <w:szCs w:val="32"/>
        </w:rPr>
        <w:t>加强城乡社区治理，</w:t>
      </w:r>
      <w:r>
        <w:rPr>
          <w:rFonts w:hint="eastAsia" w:ascii="仿宋" w:hAnsi="仿宋" w:eastAsia="方正仿宋_GBK"/>
          <w:color w:val="auto"/>
          <w:sz w:val="32"/>
          <w:szCs w:val="32"/>
        </w:rPr>
        <w:t>离不开一支素质优良的职业化、专业化社区工作者队伍。在新冠肺炎疫情期间，全省13万多名城乡社区工作者严防死守，织密2.7万个城乡社区防控网，连接起坚不可摧的战“疫”长城。2020年</w:t>
      </w:r>
      <w:r>
        <w:rPr>
          <w:rFonts w:hint="eastAsia" w:ascii="仿宋" w:hAnsi="仿宋" w:eastAsia="仿宋"/>
          <w:color w:val="auto"/>
          <w:sz w:val="32"/>
          <w:szCs w:val="32"/>
        </w:rPr>
        <w:t>6</w:t>
      </w:r>
      <w:r>
        <w:rPr>
          <w:rFonts w:hint="eastAsia" w:ascii="仿宋" w:hAnsi="仿宋" w:eastAsia="方正仿宋_GBK"/>
          <w:color w:val="auto"/>
          <w:sz w:val="32"/>
          <w:szCs w:val="32"/>
        </w:rPr>
        <w:t>月，省委、省政府出台《关于加强城市社区工作者队伍建设的意见》，全面建立了“四岗十八级”城市社区工作者职业体系，薪酬待遇纳入财政预算。但目前县、乡镇所辖社区没有相应建立职业体系，部分地方社区工作者薪酬待遇所需经费没有足额</w:t>
      </w:r>
      <w:r>
        <w:rPr>
          <w:rFonts w:hint="eastAsia" w:ascii="仿宋" w:hAnsi="仿宋" w:eastAsia="方正仿宋_GBK"/>
          <w:color w:val="auto"/>
          <w:spacing w:val="-4"/>
          <w:sz w:val="32"/>
          <w:szCs w:val="32"/>
        </w:rPr>
        <w:t>纳入财政预算，城乡社区工作者薪酬待遇偏低且增长机制没有建立起来，职业尊严感不强，这也需要通过立法明确他们的权益保障。</w:t>
      </w:r>
    </w:p>
    <w:p>
      <w:pPr>
        <w:keepNext w:val="0"/>
        <w:keepLines w:val="0"/>
        <w:pageBreakBefore w:val="0"/>
        <w:widowControl w:val="0"/>
        <w:kinsoku/>
        <w:topLinePunct w:val="0"/>
        <w:autoSpaceDN/>
        <w:bidi w:val="0"/>
        <w:adjustRightInd/>
        <w:snapToGrid/>
        <w:spacing w:beforeAutospacing="0" w:line="560" w:lineRule="exact"/>
        <w:ind w:left="0" w:leftChars="0" w:firstLine="640" w:firstLineChars="200"/>
        <w:jc w:val="both"/>
        <w:textAlignment w:val="auto"/>
        <w:rPr>
          <w:rFonts w:hint="eastAsia" w:ascii="仿宋" w:hAnsi="仿宋"/>
          <w:color w:val="auto"/>
        </w:rPr>
      </w:pPr>
      <w:r>
        <w:rPr>
          <w:rFonts w:hint="eastAsia" w:ascii="仿宋" w:hAnsi="仿宋" w:eastAsia="方正楷体_GBK"/>
          <w:color w:val="auto"/>
          <w:sz w:val="32"/>
          <w:szCs w:val="32"/>
        </w:rPr>
        <w:t>（</w:t>
      </w:r>
      <w:r>
        <w:rPr>
          <w:rFonts w:hint="eastAsia" w:ascii="仿宋" w:hAnsi="仿宋" w:eastAsia="方正楷体_GBK"/>
          <w:color w:val="auto"/>
          <w:sz w:val="32"/>
          <w:szCs w:val="32"/>
          <w:lang w:eastAsia="zh-CN"/>
        </w:rPr>
        <w:t>五</w:t>
      </w:r>
      <w:r>
        <w:rPr>
          <w:rFonts w:hint="eastAsia" w:ascii="仿宋" w:hAnsi="仿宋" w:eastAsia="方正楷体_GBK"/>
          <w:color w:val="auto"/>
          <w:sz w:val="32"/>
          <w:szCs w:val="32"/>
        </w:rPr>
        <w:t>）城乡社区应对突发事件能力不强。</w:t>
      </w:r>
      <w:r>
        <w:rPr>
          <w:rFonts w:hint="eastAsia" w:ascii="仿宋" w:hAnsi="仿宋" w:eastAsia="方正仿宋_GBK"/>
          <w:color w:val="auto"/>
          <w:sz w:val="32"/>
          <w:szCs w:val="32"/>
        </w:rPr>
        <w:t>2020年3月</w:t>
      </w:r>
      <w:r>
        <w:rPr>
          <w:rFonts w:hint="eastAsia" w:ascii="仿宋" w:hAnsi="仿宋" w:eastAsia="仿宋"/>
          <w:color w:val="auto"/>
          <w:sz w:val="32"/>
          <w:szCs w:val="32"/>
        </w:rPr>
        <w:t>10</w:t>
      </w:r>
      <w:r>
        <w:rPr>
          <w:rFonts w:hint="eastAsia" w:ascii="仿宋" w:hAnsi="仿宋" w:eastAsia="方正仿宋_GBK"/>
          <w:color w:val="auto"/>
          <w:sz w:val="32"/>
          <w:szCs w:val="32"/>
        </w:rPr>
        <w:t>日，习近平总书记在湖北省考察新冠肺炎疫情防控工作时强调，“要充分发挥社区在疫情防控中的重要作用，充分发挥基层党组织战斗堡垒作用和党员先锋模范作用，防控力量要向社区下沉，加强社区防控措施的落实，使所有社区成为疫情防控的坚强堡垒。”在新冠肺炎疫情防控期间，全省城乡社区、村湾实行封闭式管理等，充分发挥“阻击作用”，同时也暴露出社区突发事件应急能力不强、基层卫生标准化建设不完善、社区医疗防护物资储备不足等问题，社区应急能力建设也需在法律层面予以明确。</w:t>
      </w:r>
    </w:p>
    <w:p>
      <w:pPr>
        <w:keepNext w:val="0"/>
        <w:keepLines w:val="0"/>
        <w:pageBreakBefore w:val="0"/>
        <w:widowControl w:val="0"/>
        <w:kinsoku/>
        <w:topLinePunct w:val="0"/>
        <w:autoSpaceDE w:val="0"/>
        <w:autoSpaceDN/>
        <w:bidi w:val="0"/>
        <w:adjustRightInd/>
        <w:snapToGrid/>
        <w:spacing w:beforeAutospacing="0" w:line="560" w:lineRule="exact"/>
        <w:ind w:left="0" w:leftChars="0" w:firstLine="640" w:firstLineChars="200"/>
        <w:jc w:val="both"/>
        <w:textAlignment w:val="auto"/>
        <w:rPr>
          <w:rFonts w:hint="eastAsia" w:ascii="仿宋" w:hAnsi="仿宋" w:eastAsia="方正黑体_GBK" w:cs="仿宋"/>
          <w:color w:val="auto"/>
          <w:kern w:val="0"/>
          <w:sz w:val="32"/>
          <w:szCs w:val="32"/>
        </w:rPr>
      </w:pPr>
      <w:r>
        <w:rPr>
          <w:rFonts w:hint="eastAsia" w:ascii="仿宋" w:hAnsi="仿宋" w:eastAsia="方正黑体_GBK" w:cs="仿宋"/>
          <w:color w:val="auto"/>
          <w:kern w:val="0"/>
          <w:sz w:val="32"/>
          <w:szCs w:val="32"/>
          <w:lang w:eastAsia="zh-CN"/>
        </w:rPr>
        <w:t>五</w:t>
      </w:r>
      <w:r>
        <w:rPr>
          <w:rFonts w:hint="eastAsia" w:ascii="仿宋" w:hAnsi="仿宋" w:eastAsia="方正黑体_GBK" w:cs="仿宋"/>
          <w:color w:val="auto"/>
          <w:kern w:val="0"/>
          <w:sz w:val="32"/>
          <w:szCs w:val="32"/>
        </w:rPr>
        <w:t>、主要内容</w:t>
      </w:r>
    </w:p>
    <w:p>
      <w:pPr>
        <w:keepNext w:val="0"/>
        <w:keepLines w:val="0"/>
        <w:pageBreakBefore w:val="0"/>
        <w:widowControl w:val="0"/>
        <w:kinsoku/>
        <w:topLinePunct w:val="0"/>
        <w:autoSpaceDE w:val="0"/>
        <w:autoSpaceDN/>
        <w:bidi w:val="0"/>
        <w:adjustRightInd/>
        <w:snapToGrid/>
        <w:spacing w:beforeAutospacing="0" w:line="560" w:lineRule="exact"/>
        <w:ind w:left="0" w:leftChars="0" w:firstLine="640" w:firstLineChars="200"/>
        <w:jc w:val="both"/>
        <w:textAlignment w:val="auto"/>
        <w:rPr>
          <w:rFonts w:hint="eastAsia" w:ascii="仿宋" w:hAnsi="仿宋" w:eastAsia="方正仿宋_GBK"/>
          <w:color w:val="auto"/>
          <w:sz w:val="32"/>
          <w:szCs w:val="32"/>
        </w:rPr>
      </w:pPr>
      <w:r>
        <w:rPr>
          <w:rFonts w:hint="eastAsia" w:ascii="仿宋" w:hAnsi="仿宋" w:eastAsia="方正仿宋_GBK"/>
          <w:color w:val="auto"/>
          <w:sz w:val="32"/>
          <w:szCs w:val="32"/>
        </w:rPr>
        <w:t>《条例》立法坚持以习近平新时代中国特色社会主义思想为指导，全面贯彻党的十九大和十九届历次全会精神，全面贯彻落实习近平总书记关于全过程人民民主、基层社会治理、基层群众自治等重要指示批示精神</w:t>
      </w:r>
      <w:r>
        <w:rPr>
          <w:rFonts w:hint="eastAsia" w:ascii="仿宋" w:hAnsi="仿宋" w:eastAsia="方正仿宋_GBK"/>
          <w:color w:val="auto"/>
          <w:sz w:val="32"/>
          <w:szCs w:val="32"/>
          <w:lang w:eastAsia="zh-CN"/>
        </w:rPr>
        <w:t>。</w:t>
      </w:r>
      <w:r>
        <w:rPr>
          <w:rFonts w:hint="eastAsia" w:ascii="仿宋" w:hAnsi="仿宋" w:eastAsia="方正仿宋_GBK"/>
          <w:color w:val="auto"/>
          <w:sz w:val="32"/>
          <w:szCs w:val="32"/>
        </w:rPr>
        <w:t>一是</w:t>
      </w:r>
      <w:r>
        <w:rPr>
          <w:rFonts w:hint="eastAsia" w:ascii="仿宋" w:hAnsi="仿宋" w:eastAsia="方正仿宋_GBK"/>
          <w:color w:val="auto"/>
          <w:sz w:val="32"/>
          <w:szCs w:val="32"/>
          <w:lang w:eastAsia="zh-CN"/>
        </w:rPr>
        <w:t>坚持党建引领根本要求。</w:t>
      </w:r>
      <w:r>
        <w:rPr>
          <w:rFonts w:hint="eastAsia" w:ascii="仿宋" w:hAnsi="仿宋" w:eastAsia="方正仿宋_GBK"/>
          <w:color w:val="auto"/>
          <w:sz w:val="32"/>
          <w:szCs w:val="32"/>
        </w:rPr>
        <w:t>紧扣中央关于加强基层治理体系和治理能力现代化建设目标要求，健全党领导下的城乡社区治理体系、发展全过程人民民主进行立法；二是遵循实用、管用原则</w:t>
      </w:r>
      <w:r>
        <w:rPr>
          <w:rFonts w:hint="eastAsia" w:ascii="仿宋" w:hAnsi="仿宋" w:eastAsia="方正仿宋_GBK"/>
          <w:color w:val="auto"/>
          <w:sz w:val="32"/>
          <w:szCs w:val="32"/>
          <w:lang w:eastAsia="zh-CN"/>
        </w:rPr>
        <w:t>。</w:t>
      </w:r>
      <w:r>
        <w:rPr>
          <w:rFonts w:hint="eastAsia" w:ascii="仿宋" w:hAnsi="仿宋" w:eastAsia="方正仿宋_GBK"/>
          <w:color w:val="auto"/>
          <w:sz w:val="32"/>
          <w:szCs w:val="32"/>
        </w:rPr>
        <w:t>按照省人大常委会关于“立法项目应坚持‘小切口’解决实际问题”的要求，坚持问题导向，聚焦湖北省城乡社区治理中具有普遍性、基础性和突出性问题，广泛听取基层党委政府和有关部门及基层群众的意见建议，回应加强基层基础工作的现实需要，使《条例》立法更具有实践性和可操作性。</w:t>
      </w:r>
    </w:p>
    <w:p>
      <w:pPr>
        <w:keepNext w:val="0"/>
        <w:keepLines w:val="0"/>
        <w:pageBreakBefore w:val="0"/>
        <w:widowControl w:val="0"/>
        <w:kinsoku/>
        <w:topLinePunct w:val="0"/>
        <w:autoSpaceDE w:val="0"/>
        <w:autoSpaceDN/>
        <w:bidi w:val="0"/>
        <w:adjustRightInd/>
        <w:snapToGrid/>
        <w:spacing w:beforeAutospacing="0" w:line="560" w:lineRule="exact"/>
        <w:ind w:left="0" w:leftChars="0" w:firstLine="640" w:firstLineChars="200"/>
        <w:jc w:val="both"/>
        <w:textAlignment w:val="auto"/>
        <w:rPr>
          <w:rFonts w:hint="eastAsia" w:ascii="仿宋" w:hAnsi="仿宋" w:eastAsia="方正仿宋_GBK"/>
          <w:color w:val="auto"/>
          <w:sz w:val="32"/>
          <w:szCs w:val="32"/>
        </w:rPr>
      </w:pPr>
      <w:r>
        <w:rPr>
          <w:rFonts w:hint="eastAsia" w:ascii="仿宋" w:hAnsi="仿宋" w:eastAsia="方正仿宋_GBK"/>
          <w:color w:val="auto"/>
          <w:sz w:val="32"/>
          <w:szCs w:val="32"/>
        </w:rPr>
        <w:t>《条例(草案送审稿)》聚焦“谁来促进”“促进什么”“怎么促进”“谁来评估”“怎么评估”“如何保障”“相关责任”等关键问题，共设七章四十七条:</w:t>
      </w:r>
    </w:p>
    <w:p>
      <w:pPr>
        <w:keepNext w:val="0"/>
        <w:keepLines w:val="0"/>
        <w:pageBreakBefore w:val="0"/>
        <w:widowControl w:val="0"/>
        <w:kinsoku/>
        <w:topLinePunct w:val="0"/>
        <w:autoSpaceDE w:val="0"/>
        <w:autoSpaceDN/>
        <w:bidi w:val="0"/>
        <w:adjustRightInd/>
        <w:snapToGrid/>
        <w:spacing w:beforeAutospacing="0" w:line="560" w:lineRule="exact"/>
        <w:ind w:left="0" w:leftChars="0" w:firstLine="640" w:firstLineChars="200"/>
        <w:jc w:val="both"/>
        <w:textAlignment w:val="auto"/>
        <w:rPr>
          <w:rFonts w:hint="eastAsia" w:ascii="仿宋" w:hAnsi="仿宋" w:eastAsia="方正仿宋_GBK"/>
          <w:color w:val="auto"/>
          <w:sz w:val="32"/>
          <w:szCs w:val="32"/>
        </w:rPr>
      </w:pPr>
      <w:r>
        <w:rPr>
          <w:rFonts w:hint="eastAsia" w:ascii="方正楷体_GBK" w:hAnsi="方正楷体_GBK" w:eastAsia="方正楷体_GBK" w:cs="方正楷体_GBK"/>
          <w:color w:val="auto"/>
          <w:sz w:val="32"/>
          <w:szCs w:val="32"/>
        </w:rPr>
        <w:t>（一）第一章总则。</w:t>
      </w:r>
      <w:r>
        <w:rPr>
          <w:rFonts w:hint="eastAsia" w:ascii="仿宋" w:hAnsi="仿宋" w:eastAsia="方正仿宋_GBK"/>
          <w:color w:val="auto"/>
          <w:sz w:val="32"/>
          <w:szCs w:val="32"/>
        </w:rPr>
        <w:t>明确了立法的目的、适用范围和治理原则，对各级政府、主管和相关部门、自治组织、社区居民、社会力量参与社区治理的职责和有关激励措施进行了规范，明确了由“谁来促进”的问题（第一条至第</w:t>
      </w:r>
      <w:r>
        <w:rPr>
          <w:rFonts w:hint="eastAsia" w:ascii="仿宋" w:hAnsi="仿宋" w:eastAsia="方正仿宋_GBK"/>
          <w:color w:val="auto"/>
          <w:sz w:val="32"/>
          <w:szCs w:val="32"/>
          <w:lang w:eastAsia="zh-CN"/>
        </w:rPr>
        <w:t>九</w:t>
      </w:r>
      <w:r>
        <w:rPr>
          <w:rFonts w:hint="eastAsia" w:ascii="仿宋" w:hAnsi="仿宋" w:eastAsia="方正仿宋_GBK"/>
          <w:color w:val="auto"/>
          <w:sz w:val="32"/>
          <w:szCs w:val="32"/>
        </w:rPr>
        <w:t>条）。</w:t>
      </w:r>
    </w:p>
    <w:p>
      <w:pPr>
        <w:keepNext w:val="0"/>
        <w:keepLines w:val="0"/>
        <w:pageBreakBefore w:val="0"/>
        <w:widowControl w:val="0"/>
        <w:kinsoku/>
        <w:topLinePunct w:val="0"/>
        <w:autoSpaceDE w:val="0"/>
        <w:autoSpaceDN/>
        <w:bidi w:val="0"/>
        <w:adjustRightInd/>
        <w:snapToGrid/>
        <w:spacing w:beforeAutospacing="0" w:line="560" w:lineRule="exact"/>
        <w:ind w:left="0" w:leftChars="0" w:firstLine="640" w:firstLineChars="200"/>
        <w:jc w:val="both"/>
        <w:textAlignment w:val="auto"/>
        <w:rPr>
          <w:rFonts w:hint="eastAsia" w:ascii="仿宋" w:hAnsi="仿宋" w:eastAsia="方正仿宋_GBK"/>
          <w:color w:val="auto"/>
          <w:sz w:val="32"/>
          <w:szCs w:val="32"/>
          <w:lang w:eastAsia="zh-CN"/>
        </w:rPr>
      </w:pPr>
      <w:r>
        <w:rPr>
          <w:rFonts w:hint="eastAsia" w:ascii="方正楷体_GBK" w:hAnsi="方正楷体_GBK" w:eastAsia="方正楷体_GBK" w:cs="方正楷体_GBK"/>
          <w:color w:val="auto"/>
          <w:sz w:val="32"/>
          <w:szCs w:val="32"/>
        </w:rPr>
        <w:t>（二）第二章社区建设。</w:t>
      </w:r>
      <w:r>
        <w:rPr>
          <w:rFonts w:hint="eastAsia" w:ascii="仿宋" w:hAnsi="仿宋" w:eastAsia="方正仿宋_GBK"/>
          <w:color w:val="auto"/>
          <w:sz w:val="32"/>
          <w:szCs w:val="32"/>
        </w:rPr>
        <w:t>社区治理的前提是社区建设。条例草案明确了社区建设目标任务，从加强社区规划、设置、群众自治组织建设、人才队伍建设、综合服务设施建设和功能设置、社区信息化建设等七个方面明确了社区建设“促进什么”“怎么促进”的问题（第十条至第十</w:t>
      </w:r>
      <w:r>
        <w:rPr>
          <w:rFonts w:hint="eastAsia" w:ascii="仿宋" w:hAnsi="仿宋" w:eastAsia="方正仿宋_GBK"/>
          <w:color w:val="auto"/>
          <w:sz w:val="32"/>
          <w:szCs w:val="32"/>
          <w:lang w:eastAsia="zh-CN"/>
        </w:rPr>
        <w:t>七</w:t>
      </w:r>
      <w:r>
        <w:rPr>
          <w:rFonts w:hint="eastAsia" w:ascii="仿宋" w:hAnsi="仿宋" w:eastAsia="方正仿宋_GBK"/>
          <w:color w:val="auto"/>
          <w:sz w:val="32"/>
          <w:szCs w:val="32"/>
        </w:rPr>
        <w:t>条</w:t>
      </w:r>
      <w:r>
        <w:rPr>
          <w:rFonts w:hint="eastAsia" w:ascii="仿宋" w:hAnsi="仿宋" w:eastAsia="方正仿宋_GBK"/>
          <w:color w:val="auto"/>
          <w:sz w:val="32"/>
          <w:szCs w:val="32"/>
          <w:lang w:eastAsia="zh-CN"/>
        </w:rPr>
        <w:t>）。</w:t>
      </w:r>
    </w:p>
    <w:p>
      <w:pPr>
        <w:keepNext w:val="0"/>
        <w:keepLines w:val="0"/>
        <w:pageBreakBefore w:val="0"/>
        <w:widowControl w:val="0"/>
        <w:kinsoku/>
        <w:topLinePunct w:val="0"/>
        <w:autoSpaceDE w:val="0"/>
        <w:autoSpaceDN/>
        <w:bidi w:val="0"/>
        <w:adjustRightInd/>
        <w:snapToGrid/>
        <w:spacing w:beforeAutospacing="0" w:line="560" w:lineRule="exact"/>
        <w:ind w:left="0" w:leftChars="0" w:firstLine="640" w:firstLineChars="200"/>
        <w:jc w:val="both"/>
        <w:textAlignment w:val="auto"/>
        <w:rPr>
          <w:rFonts w:hint="eastAsia" w:ascii="仿宋" w:hAnsi="仿宋" w:eastAsia="方正仿宋_GBK"/>
          <w:color w:val="auto"/>
          <w:sz w:val="32"/>
          <w:szCs w:val="32"/>
        </w:rPr>
      </w:pPr>
      <w:r>
        <w:rPr>
          <w:rFonts w:hint="eastAsia" w:ascii="仿宋" w:hAnsi="仿宋" w:eastAsia="方正仿宋_GBK"/>
          <w:color w:val="auto"/>
          <w:sz w:val="32"/>
          <w:szCs w:val="32"/>
          <w:lang w:eastAsia="zh-CN"/>
        </w:rPr>
        <w:t>第十五条城市社区工作者配备标准，是国家和省“十四五”城乡社区服务体系规划提出的目标。目前，我省平均不到</w:t>
      </w:r>
      <w:r>
        <w:rPr>
          <w:rFonts w:hint="eastAsia" w:ascii="仿宋" w:hAnsi="仿宋" w:eastAsia="方正仿宋_GBK"/>
          <w:color w:val="auto"/>
          <w:sz w:val="32"/>
          <w:szCs w:val="32"/>
          <w:lang w:val="en-US" w:eastAsia="zh-CN"/>
        </w:rPr>
        <w:t>17人</w:t>
      </w:r>
      <w:r>
        <w:rPr>
          <w:rFonts w:hint="eastAsia" w:ascii="仿宋" w:hAnsi="仿宋" w:eastAsia="方正仿宋_GBK"/>
          <w:color w:val="auto"/>
          <w:sz w:val="32"/>
          <w:szCs w:val="32"/>
        </w:rPr>
        <w:t>。</w:t>
      </w:r>
    </w:p>
    <w:p>
      <w:pPr>
        <w:keepNext w:val="0"/>
        <w:keepLines w:val="0"/>
        <w:pageBreakBefore w:val="0"/>
        <w:widowControl w:val="0"/>
        <w:kinsoku/>
        <w:topLinePunct w:val="0"/>
        <w:autoSpaceDE w:val="0"/>
        <w:autoSpaceDN/>
        <w:bidi w:val="0"/>
        <w:adjustRightInd/>
        <w:snapToGrid/>
        <w:spacing w:beforeAutospacing="0" w:line="560" w:lineRule="exact"/>
        <w:ind w:left="0" w:leftChars="0" w:firstLine="640" w:firstLineChars="200"/>
        <w:jc w:val="both"/>
        <w:textAlignment w:val="auto"/>
        <w:rPr>
          <w:rFonts w:hint="default" w:ascii="仿宋" w:hAnsi="仿宋" w:eastAsia="方正仿宋_GBK"/>
          <w:color w:val="auto"/>
          <w:sz w:val="32"/>
          <w:szCs w:val="32"/>
          <w:lang w:val="en-US" w:eastAsia="zh-CN"/>
        </w:rPr>
      </w:pPr>
      <w:r>
        <w:rPr>
          <w:rFonts w:hint="eastAsia" w:ascii="仿宋" w:hAnsi="仿宋" w:eastAsia="方正仿宋_GBK"/>
          <w:color w:val="auto"/>
          <w:sz w:val="32"/>
          <w:szCs w:val="32"/>
          <w:lang w:eastAsia="zh-CN"/>
        </w:rPr>
        <w:t>第十六条城乡社区综合服务设施面积配套标准，是</w:t>
      </w:r>
      <w:r>
        <w:rPr>
          <w:rFonts w:hint="eastAsia" w:ascii="仿宋" w:hAnsi="仿宋" w:eastAsia="方正仿宋_GBK"/>
          <w:color w:val="auto"/>
          <w:sz w:val="32"/>
          <w:szCs w:val="32"/>
          <w:lang w:val="en-US" w:eastAsia="zh-CN"/>
        </w:rPr>
        <w:t>2017年省委、省政府印发《关于加强和完善城乡社区治理的实施意见》明确的。目前，全省还有相当一部分社区没有达到要求。</w:t>
      </w:r>
    </w:p>
    <w:p>
      <w:pPr>
        <w:pStyle w:val="2"/>
        <w:keepNext w:val="0"/>
        <w:keepLines w:val="0"/>
        <w:pageBreakBefore w:val="0"/>
        <w:widowControl w:val="0"/>
        <w:kinsoku/>
        <w:topLinePunct w:val="0"/>
        <w:autoSpaceDN/>
        <w:bidi w:val="0"/>
        <w:adjustRightInd/>
        <w:snapToGrid/>
        <w:spacing w:before="0" w:beforeAutospacing="0" w:after="0" w:line="560" w:lineRule="exact"/>
        <w:ind w:left="0" w:leftChars="0"/>
        <w:jc w:val="both"/>
        <w:textAlignment w:val="auto"/>
        <w:rPr>
          <w:rFonts w:hint="eastAsia" w:ascii="仿宋" w:hAnsi="仿宋" w:eastAsia="方正仿宋_GBK"/>
          <w:color w:val="auto"/>
          <w:sz w:val="32"/>
          <w:szCs w:val="32"/>
          <w:lang w:eastAsia="zh-CN"/>
        </w:rPr>
      </w:pPr>
      <w:r>
        <w:rPr>
          <w:rFonts w:hint="eastAsia" w:ascii="方正楷体_GBK" w:hAnsi="方正楷体_GBK" w:eastAsia="方正楷体_GBK" w:cs="方正楷体_GBK"/>
          <w:color w:val="auto"/>
          <w:kern w:val="2"/>
          <w:sz w:val="32"/>
          <w:szCs w:val="32"/>
          <w:lang w:val="en-US" w:eastAsia="zh-CN" w:bidi="ar-SA"/>
        </w:rPr>
        <w:t>（三）第三章社区服务。</w:t>
      </w:r>
      <w:r>
        <w:rPr>
          <w:rFonts w:hint="eastAsia" w:ascii="仿宋" w:hAnsi="仿宋" w:eastAsia="方正仿宋_GBK"/>
          <w:color w:val="auto"/>
          <w:sz w:val="32"/>
          <w:szCs w:val="32"/>
        </w:rPr>
        <w:t>社区治理核心是社区服务。条例草案围绕解决居民急、难、愁、盼的生活问题，从社区公共服务、便民利民服务、物业服务、志愿服务、社区社会组织服务等五个方面来提升社区服务质量，明确了社区服务需要从哪些方面“促进”和“怎么促进”的问题（第十</w:t>
      </w:r>
      <w:r>
        <w:rPr>
          <w:rFonts w:hint="eastAsia" w:ascii="仿宋" w:hAnsi="仿宋" w:eastAsia="方正仿宋_GBK"/>
          <w:color w:val="auto"/>
          <w:sz w:val="32"/>
          <w:szCs w:val="32"/>
          <w:lang w:eastAsia="zh-CN"/>
        </w:rPr>
        <w:t>八</w:t>
      </w:r>
      <w:r>
        <w:rPr>
          <w:rFonts w:hint="eastAsia" w:ascii="仿宋" w:hAnsi="仿宋" w:eastAsia="方正仿宋_GBK"/>
          <w:color w:val="auto"/>
          <w:sz w:val="32"/>
          <w:szCs w:val="32"/>
        </w:rPr>
        <w:t>条至第二十</w:t>
      </w:r>
      <w:r>
        <w:rPr>
          <w:rFonts w:hint="eastAsia" w:ascii="仿宋" w:hAnsi="仿宋" w:eastAsia="方正仿宋_GBK"/>
          <w:color w:val="auto"/>
          <w:sz w:val="32"/>
          <w:szCs w:val="32"/>
          <w:lang w:eastAsia="zh-CN"/>
        </w:rPr>
        <w:t>三</w:t>
      </w:r>
      <w:r>
        <w:rPr>
          <w:rFonts w:hint="eastAsia" w:ascii="仿宋" w:hAnsi="仿宋" w:eastAsia="方正仿宋_GBK"/>
          <w:color w:val="auto"/>
          <w:sz w:val="32"/>
          <w:szCs w:val="32"/>
        </w:rPr>
        <w:t>条</w:t>
      </w:r>
      <w:r>
        <w:rPr>
          <w:rFonts w:hint="eastAsia" w:ascii="仿宋" w:hAnsi="仿宋" w:eastAsia="方正仿宋_GBK"/>
          <w:color w:val="auto"/>
          <w:sz w:val="32"/>
          <w:szCs w:val="32"/>
          <w:lang w:eastAsia="zh-CN"/>
        </w:rPr>
        <w:t>）。</w:t>
      </w:r>
    </w:p>
    <w:p>
      <w:pPr>
        <w:pStyle w:val="2"/>
        <w:keepNext w:val="0"/>
        <w:keepLines w:val="0"/>
        <w:pageBreakBefore w:val="0"/>
        <w:widowControl w:val="0"/>
        <w:kinsoku/>
        <w:topLinePunct w:val="0"/>
        <w:autoSpaceDN/>
        <w:bidi w:val="0"/>
        <w:adjustRightInd/>
        <w:snapToGrid/>
        <w:spacing w:before="0" w:beforeAutospacing="0" w:after="0" w:line="560" w:lineRule="exact"/>
        <w:ind w:left="0" w:leftChars="0"/>
        <w:jc w:val="both"/>
        <w:textAlignment w:val="auto"/>
        <w:rPr>
          <w:rFonts w:hint="eastAsia" w:ascii="仿宋" w:hAnsi="仿宋" w:eastAsia="方正仿宋_GBK"/>
          <w:color w:val="auto"/>
          <w:sz w:val="32"/>
          <w:szCs w:val="32"/>
        </w:rPr>
      </w:pPr>
      <w:r>
        <w:rPr>
          <w:rFonts w:hint="eastAsia" w:ascii="仿宋" w:hAnsi="仿宋" w:eastAsia="方正仿宋_GBK"/>
          <w:color w:val="auto"/>
          <w:sz w:val="32"/>
          <w:szCs w:val="32"/>
          <w:lang w:eastAsia="zh-CN"/>
        </w:rPr>
        <w:t>此章主要依据国家、省“十四五”城乡社区服务体系规划和有关政策文件要求起草</w:t>
      </w:r>
      <w:r>
        <w:rPr>
          <w:rFonts w:hint="eastAsia" w:ascii="仿宋" w:hAnsi="仿宋" w:eastAsia="方正仿宋_GBK"/>
          <w:color w:val="auto"/>
          <w:sz w:val="32"/>
          <w:szCs w:val="32"/>
        </w:rPr>
        <w:t>。</w:t>
      </w:r>
    </w:p>
    <w:p>
      <w:pPr>
        <w:keepNext w:val="0"/>
        <w:keepLines w:val="0"/>
        <w:pageBreakBefore w:val="0"/>
        <w:widowControl w:val="0"/>
        <w:kinsoku/>
        <w:topLinePunct w:val="0"/>
        <w:autoSpaceDE w:val="0"/>
        <w:autoSpaceDN/>
        <w:bidi w:val="0"/>
        <w:adjustRightInd/>
        <w:snapToGrid/>
        <w:spacing w:beforeAutospacing="0" w:line="560" w:lineRule="exact"/>
        <w:ind w:left="0" w:leftChars="0" w:firstLine="640" w:firstLineChars="200"/>
        <w:jc w:val="both"/>
        <w:textAlignment w:val="auto"/>
        <w:rPr>
          <w:rFonts w:hint="eastAsia" w:ascii="仿宋" w:hAnsi="仿宋" w:eastAsia="方正仿宋_GBK"/>
          <w:color w:val="auto"/>
          <w:sz w:val="32"/>
          <w:szCs w:val="32"/>
          <w:lang w:eastAsia="zh-CN"/>
        </w:rPr>
      </w:pPr>
      <w:r>
        <w:rPr>
          <w:rFonts w:hint="eastAsia" w:ascii="方正楷体_GBK" w:hAnsi="方正楷体_GBK" w:eastAsia="方正楷体_GBK" w:cs="方正楷体_GBK"/>
          <w:color w:val="auto"/>
          <w:sz w:val="32"/>
          <w:szCs w:val="32"/>
        </w:rPr>
        <w:t>（四）第四章社区治理。</w:t>
      </w:r>
      <w:r>
        <w:rPr>
          <w:rFonts w:hint="eastAsia" w:ascii="仿宋" w:hAnsi="仿宋" w:eastAsia="方正仿宋_GBK"/>
          <w:color w:val="auto"/>
          <w:sz w:val="32"/>
          <w:szCs w:val="32"/>
        </w:rPr>
        <w:t>社区治理的关键是机制创新。条例草案从建立健全机制的角度，从建立党建引领社区治理机制、健全基层政府主导机制，规范居民自治秩序、加强社区法治和德治，强化社会协同、社区安全、物业管理、社区突发事件处置等八个方面，明确了社区治理工作由“谁来促进”“促进什么”“怎么促进”的问题，一定程度上体现了先行先试的湖北地方立法特色（第二十</w:t>
      </w:r>
      <w:r>
        <w:rPr>
          <w:rFonts w:hint="eastAsia" w:ascii="仿宋" w:hAnsi="仿宋" w:eastAsia="方正仿宋_GBK"/>
          <w:color w:val="auto"/>
          <w:sz w:val="32"/>
          <w:szCs w:val="32"/>
          <w:lang w:eastAsia="zh-CN"/>
        </w:rPr>
        <w:t>四</w:t>
      </w:r>
      <w:r>
        <w:rPr>
          <w:rFonts w:hint="eastAsia" w:ascii="仿宋" w:hAnsi="仿宋" w:eastAsia="方正仿宋_GBK"/>
          <w:color w:val="auto"/>
          <w:sz w:val="32"/>
          <w:szCs w:val="32"/>
        </w:rPr>
        <w:t>条至第三十</w:t>
      </w:r>
      <w:r>
        <w:rPr>
          <w:rFonts w:hint="eastAsia" w:ascii="仿宋" w:hAnsi="仿宋" w:eastAsia="方正仿宋_GBK"/>
          <w:color w:val="auto"/>
          <w:sz w:val="32"/>
          <w:szCs w:val="32"/>
          <w:lang w:eastAsia="zh-CN"/>
        </w:rPr>
        <w:t>二</w:t>
      </w:r>
      <w:r>
        <w:rPr>
          <w:rFonts w:hint="eastAsia" w:ascii="仿宋" w:hAnsi="仿宋" w:eastAsia="方正仿宋_GBK"/>
          <w:color w:val="auto"/>
          <w:sz w:val="32"/>
          <w:szCs w:val="32"/>
        </w:rPr>
        <w:t>条</w:t>
      </w:r>
      <w:r>
        <w:rPr>
          <w:rFonts w:hint="eastAsia" w:ascii="仿宋" w:hAnsi="仿宋" w:eastAsia="方正仿宋_GBK"/>
          <w:color w:val="auto"/>
          <w:sz w:val="32"/>
          <w:szCs w:val="32"/>
          <w:lang w:eastAsia="zh-CN"/>
        </w:rPr>
        <w:t>）。</w:t>
      </w:r>
    </w:p>
    <w:p>
      <w:pPr>
        <w:keepNext w:val="0"/>
        <w:keepLines w:val="0"/>
        <w:pageBreakBefore w:val="0"/>
        <w:widowControl w:val="0"/>
        <w:kinsoku/>
        <w:topLinePunct w:val="0"/>
        <w:autoSpaceDE w:val="0"/>
        <w:autoSpaceDN/>
        <w:bidi w:val="0"/>
        <w:adjustRightInd/>
        <w:snapToGrid/>
        <w:spacing w:beforeAutospacing="0" w:line="560" w:lineRule="exact"/>
        <w:ind w:left="0" w:leftChars="0" w:firstLine="640" w:firstLineChars="200"/>
        <w:jc w:val="both"/>
        <w:textAlignment w:val="auto"/>
        <w:rPr>
          <w:rFonts w:hint="eastAsia" w:ascii="仿宋" w:hAnsi="仿宋" w:eastAsia="方正仿宋_GBK"/>
          <w:color w:val="auto"/>
          <w:sz w:val="32"/>
          <w:szCs w:val="32"/>
        </w:rPr>
      </w:pPr>
      <w:r>
        <w:rPr>
          <w:rFonts w:hint="eastAsia" w:ascii="仿宋" w:hAnsi="仿宋" w:eastAsia="方正仿宋_GBK"/>
          <w:color w:val="auto"/>
          <w:sz w:val="32"/>
          <w:szCs w:val="32"/>
          <w:lang w:eastAsia="zh-CN"/>
        </w:rPr>
        <w:t>此章主要依据中央、国务院关于加强和完善城乡社区治理的意见和省基层治理“</w:t>
      </w:r>
      <w:r>
        <w:rPr>
          <w:rFonts w:hint="eastAsia" w:ascii="仿宋" w:hAnsi="仿宋" w:eastAsia="方正仿宋_GBK"/>
          <w:color w:val="auto"/>
          <w:sz w:val="32"/>
          <w:szCs w:val="32"/>
          <w:lang w:val="en-US" w:eastAsia="zh-CN"/>
        </w:rPr>
        <w:t>1+1+5</w:t>
      </w:r>
      <w:r>
        <w:rPr>
          <w:rFonts w:hint="eastAsia" w:ascii="仿宋" w:hAnsi="仿宋" w:eastAsia="方正仿宋_GBK"/>
          <w:color w:val="auto"/>
          <w:sz w:val="32"/>
          <w:szCs w:val="32"/>
          <w:lang w:eastAsia="zh-CN"/>
        </w:rPr>
        <w:t>”</w:t>
      </w:r>
      <w:r>
        <w:rPr>
          <w:rFonts w:hint="eastAsia" w:ascii="仿宋" w:hAnsi="仿宋" w:eastAsia="方正仿宋_GBK"/>
          <w:color w:val="auto"/>
          <w:sz w:val="32"/>
          <w:szCs w:val="32"/>
          <w:lang w:val="en-US" w:eastAsia="zh-CN"/>
        </w:rPr>
        <w:t>政策文件要求起草的</w:t>
      </w:r>
      <w:r>
        <w:rPr>
          <w:rFonts w:hint="eastAsia" w:ascii="仿宋" w:hAnsi="仿宋" w:eastAsia="方正仿宋_GBK"/>
          <w:color w:val="auto"/>
          <w:sz w:val="32"/>
          <w:szCs w:val="32"/>
        </w:rPr>
        <w:t>。</w:t>
      </w:r>
    </w:p>
    <w:p>
      <w:pPr>
        <w:keepNext w:val="0"/>
        <w:keepLines w:val="0"/>
        <w:pageBreakBefore w:val="0"/>
        <w:widowControl w:val="0"/>
        <w:kinsoku/>
        <w:topLinePunct w:val="0"/>
        <w:autoSpaceDE w:val="0"/>
        <w:autoSpaceDN/>
        <w:bidi w:val="0"/>
        <w:adjustRightInd/>
        <w:snapToGrid/>
        <w:spacing w:beforeAutospacing="0" w:line="560" w:lineRule="exact"/>
        <w:ind w:left="0" w:leftChars="0" w:firstLine="640" w:firstLineChars="200"/>
        <w:jc w:val="both"/>
        <w:textAlignment w:val="auto"/>
        <w:rPr>
          <w:rFonts w:hint="eastAsia" w:ascii="仿宋" w:hAnsi="仿宋" w:eastAsia="方正仿宋_GBK"/>
          <w:color w:val="auto"/>
          <w:sz w:val="32"/>
          <w:szCs w:val="32"/>
          <w:lang w:eastAsia="zh-CN"/>
        </w:rPr>
      </w:pPr>
      <w:r>
        <w:rPr>
          <w:rFonts w:hint="eastAsia" w:ascii="方正楷体_GBK" w:hAnsi="方正楷体_GBK" w:eastAsia="方正楷体_GBK" w:cs="方正楷体_GBK"/>
          <w:color w:val="auto"/>
          <w:sz w:val="32"/>
          <w:szCs w:val="32"/>
        </w:rPr>
        <w:t>（五）第五章保障措施。</w:t>
      </w:r>
      <w:r>
        <w:rPr>
          <w:rFonts w:hint="eastAsia" w:ascii="仿宋" w:hAnsi="仿宋" w:eastAsia="方正仿宋_GBK"/>
          <w:color w:val="auto"/>
          <w:sz w:val="32"/>
          <w:szCs w:val="32"/>
        </w:rPr>
        <w:t>围绕“如何保障”社区治理、治理成效由“谁来评估”“怎么评估”的问题，强化了各级党委政府在社区治理方面的责任，明确了加强经费保障、落实社区工作者待遇动态调整、建立社区工作者职业激励、健全社区准入机制、完善社区评议机制和落实政策优惠制度等保障措施</w:t>
      </w:r>
      <w:r>
        <w:rPr>
          <w:rFonts w:hint="eastAsia" w:ascii="方正仿宋_GBK" w:hAnsi="方正仿宋_GBK" w:eastAsia="方正仿宋_GBK" w:cs="方正仿宋_GBK"/>
          <w:color w:val="auto"/>
          <w:sz w:val="32"/>
          <w:szCs w:val="32"/>
          <w:lang w:eastAsia="zh-CN"/>
        </w:rPr>
        <w:t>（</w:t>
      </w:r>
      <w:r>
        <w:rPr>
          <w:rFonts w:hint="eastAsia" w:ascii="仿宋" w:hAnsi="仿宋" w:eastAsia="方正仿宋_GBK"/>
          <w:color w:val="auto"/>
          <w:sz w:val="32"/>
          <w:szCs w:val="32"/>
        </w:rPr>
        <w:t>第三十</w:t>
      </w:r>
      <w:r>
        <w:rPr>
          <w:rFonts w:hint="eastAsia" w:ascii="仿宋" w:hAnsi="仿宋" w:eastAsia="方正仿宋_GBK"/>
          <w:color w:val="auto"/>
          <w:sz w:val="32"/>
          <w:szCs w:val="32"/>
          <w:lang w:eastAsia="zh-CN"/>
        </w:rPr>
        <w:t>三</w:t>
      </w:r>
      <w:r>
        <w:rPr>
          <w:rFonts w:hint="eastAsia" w:ascii="仿宋" w:hAnsi="仿宋" w:eastAsia="方正仿宋_GBK"/>
          <w:color w:val="auto"/>
          <w:sz w:val="32"/>
          <w:szCs w:val="32"/>
        </w:rPr>
        <w:t>条至第</w:t>
      </w:r>
      <w:r>
        <w:rPr>
          <w:rFonts w:hint="eastAsia" w:ascii="仿宋" w:hAnsi="仿宋" w:eastAsia="方正仿宋_GBK"/>
          <w:color w:val="auto"/>
          <w:sz w:val="32"/>
          <w:szCs w:val="32"/>
          <w:lang w:eastAsia="zh-CN"/>
        </w:rPr>
        <w:t>三十九</w:t>
      </w:r>
      <w:r>
        <w:rPr>
          <w:rFonts w:hint="eastAsia" w:ascii="仿宋" w:hAnsi="仿宋" w:eastAsia="方正仿宋_GBK"/>
          <w:color w:val="auto"/>
          <w:sz w:val="32"/>
          <w:szCs w:val="32"/>
        </w:rPr>
        <w:t>条</w:t>
      </w:r>
      <w:r>
        <w:rPr>
          <w:rFonts w:hint="eastAsia" w:ascii="仿宋" w:hAnsi="仿宋" w:eastAsia="方正仿宋_GBK"/>
          <w:color w:val="auto"/>
          <w:sz w:val="32"/>
          <w:szCs w:val="32"/>
          <w:lang w:eastAsia="zh-CN"/>
        </w:rPr>
        <w:t>）。</w:t>
      </w:r>
    </w:p>
    <w:p>
      <w:pPr>
        <w:keepNext w:val="0"/>
        <w:keepLines w:val="0"/>
        <w:pageBreakBefore w:val="0"/>
        <w:widowControl w:val="0"/>
        <w:kinsoku/>
        <w:topLinePunct w:val="0"/>
        <w:autoSpaceDE w:val="0"/>
        <w:autoSpaceDN/>
        <w:bidi w:val="0"/>
        <w:adjustRightInd/>
        <w:snapToGrid/>
        <w:spacing w:beforeAutospacing="0" w:line="560" w:lineRule="exact"/>
        <w:ind w:left="0" w:leftChars="0" w:firstLine="640" w:firstLineChars="200"/>
        <w:jc w:val="both"/>
        <w:textAlignment w:val="auto"/>
        <w:rPr>
          <w:rFonts w:hint="eastAsia" w:ascii="仿宋" w:hAnsi="仿宋" w:eastAsia="方正仿宋_GBK"/>
          <w:color w:val="auto"/>
          <w:sz w:val="32"/>
          <w:szCs w:val="32"/>
          <w:lang w:eastAsia="zh-CN"/>
        </w:rPr>
      </w:pPr>
      <w:r>
        <w:rPr>
          <w:rFonts w:hint="eastAsia" w:ascii="仿宋" w:hAnsi="仿宋" w:eastAsia="方正仿宋_GBK"/>
          <w:color w:val="auto"/>
          <w:sz w:val="32"/>
          <w:szCs w:val="32"/>
          <w:lang w:eastAsia="zh-CN"/>
        </w:rPr>
        <w:t>第三十三条规定有关考核要求，现行政策文件有规定。</w:t>
      </w:r>
    </w:p>
    <w:p>
      <w:pPr>
        <w:keepNext w:val="0"/>
        <w:keepLines w:val="0"/>
        <w:pageBreakBefore w:val="0"/>
        <w:widowControl w:val="0"/>
        <w:kinsoku/>
        <w:topLinePunct w:val="0"/>
        <w:autoSpaceDE w:val="0"/>
        <w:autoSpaceDN/>
        <w:bidi w:val="0"/>
        <w:adjustRightInd/>
        <w:snapToGrid/>
        <w:spacing w:beforeAutospacing="0" w:line="560" w:lineRule="exact"/>
        <w:ind w:left="0" w:leftChars="0" w:firstLine="640" w:firstLineChars="200"/>
        <w:jc w:val="both"/>
        <w:textAlignment w:val="auto"/>
        <w:rPr>
          <w:rFonts w:hint="eastAsia" w:ascii="仿宋" w:hAnsi="仿宋" w:eastAsia="方正仿宋_GBK"/>
          <w:color w:val="auto"/>
          <w:sz w:val="32"/>
          <w:szCs w:val="32"/>
          <w:lang w:eastAsia="zh-CN"/>
        </w:rPr>
      </w:pPr>
      <w:r>
        <w:rPr>
          <w:rFonts w:hint="eastAsia" w:ascii="仿宋" w:hAnsi="仿宋" w:eastAsia="方正仿宋_GBK"/>
          <w:color w:val="auto"/>
          <w:sz w:val="32"/>
          <w:szCs w:val="32"/>
          <w:lang w:eastAsia="zh-CN"/>
        </w:rPr>
        <w:t>第三十五条强调将社区工作者薪酬待遇足额纳入县乡两级财政预算，并建立正常调整机制，目前还有少数地方自治组织还需自筹一部分人员经费。</w:t>
      </w:r>
    </w:p>
    <w:p>
      <w:pPr>
        <w:keepNext w:val="0"/>
        <w:keepLines w:val="0"/>
        <w:pageBreakBefore w:val="0"/>
        <w:widowControl w:val="0"/>
        <w:kinsoku/>
        <w:topLinePunct w:val="0"/>
        <w:autoSpaceDE w:val="0"/>
        <w:autoSpaceDN/>
        <w:bidi w:val="0"/>
        <w:adjustRightInd/>
        <w:snapToGrid/>
        <w:spacing w:beforeAutospacing="0" w:line="560" w:lineRule="exact"/>
        <w:ind w:left="0" w:leftChars="0" w:firstLine="640" w:firstLineChars="200"/>
        <w:jc w:val="both"/>
        <w:textAlignment w:val="auto"/>
        <w:rPr>
          <w:rFonts w:hint="eastAsia" w:ascii="仿宋" w:hAnsi="仿宋" w:eastAsia="方正仿宋_GBK"/>
          <w:color w:val="auto"/>
          <w:sz w:val="32"/>
          <w:szCs w:val="32"/>
          <w:lang w:val="en-US" w:eastAsia="zh-CN"/>
        </w:rPr>
      </w:pPr>
      <w:r>
        <w:rPr>
          <w:rFonts w:hint="eastAsia" w:ascii="仿宋" w:hAnsi="仿宋" w:eastAsia="方正仿宋_GBK"/>
          <w:color w:val="auto"/>
          <w:sz w:val="32"/>
          <w:szCs w:val="32"/>
          <w:lang w:eastAsia="zh-CN"/>
        </w:rPr>
        <w:t>第三十六条提出县级政府应当逐步建立（乡镇社区）社区工作者职业体系，目前，全省</w:t>
      </w:r>
      <w:r>
        <w:rPr>
          <w:rFonts w:hint="eastAsia" w:ascii="仿宋" w:hAnsi="仿宋" w:eastAsia="方正仿宋_GBK"/>
          <w:color w:val="auto"/>
          <w:sz w:val="32"/>
          <w:szCs w:val="32"/>
          <w:lang w:val="en-US" w:eastAsia="zh-CN"/>
        </w:rPr>
        <w:t>4800多个居民委员会，还有1800多个居民委员会成员和专职工作者未建立“四岗十八级”职业体系。</w:t>
      </w:r>
    </w:p>
    <w:p>
      <w:pPr>
        <w:keepNext w:val="0"/>
        <w:keepLines w:val="0"/>
        <w:pageBreakBefore w:val="0"/>
        <w:widowControl w:val="0"/>
        <w:kinsoku/>
        <w:topLinePunct w:val="0"/>
        <w:autoSpaceDE w:val="0"/>
        <w:autoSpaceDN/>
        <w:bidi w:val="0"/>
        <w:adjustRightInd/>
        <w:snapToGrid/>
        <w:spacing w:beforeAutospacing="0" w:line="560" w:lineRule="exact"/>
        <w:ind w:left="0" w:leftChars="0" w:firstLine="640" w:firstLineChars="200"/>
        <w:jc w:val="both"/>
        <w:textAlignment w:val="auto"/>
        <w:rPr>
          <w:rFonts w:hint="eastAsia" w:ascii="仿宋" w:hAnsi="仿宋" w:eastAsia="方正仿宋_GBK"/>
          <w:color w:val="auto"/>
          <w:sz w:val="32"/>
          <w:szCs w:val="32"/>
        </w:rPr>
      </w:pPr>
      <w:r>
        <w:rPr>
          <w:rFonts w:hint="eastAsia" w:ascii="仿宋" w:hAnsi="仿宋" w:eastAsia="方正仿宋_GBK"/>
          <w:color w:val="auto"/>
          <w:sz w:val="32"/>
          <w:szCs w:val="32"/>
          <w:lang w:val="en-US" w:eastAsia="zh-CN"/>
        </w:rPr>
        <w:t>第三十九条为政策优惠，现有政策文件有规定</w:t>
      </w:r>
      <w:r>
        <w:rPr>
          <w:rFonts w:hint="eastAsia" w:ascii="仿宋" w:hAnsi="仿宋" w:eastAsia="方正仿宋_GBK"/>
          <w:color w:val="auto"/>
          <w:sz w:val="32"/>
          <w:szCs w:val="32"/>
        </w:rPr>
        <w:t>。</w:t>
      </w:r>
    </w:p>
    <w:p>
      <w:pPr>
        <w:keepNext w:val="0"/>
        <w:keepLines w:val="0"/>
        <w:pageBreakBefore w:val="0"/>
        <w:widowControl w:val="0"/>
        <w:kinsoku/>
        <w:topLinePunct w:val="0"/>
        <w:autoSpaceDE w:val="0"/>
        <w:autoSpaceDN/>
        <w:bidi w:val="0"/>
        <w:adjustRightInd/>
        <w:snapToGrid/>
        <w:spacing w:beforeAutospacing="0" w:line="560" w:lineRule="exact"/>
        <w:ind w:left="0" w:leftChars="0" w:firstLine="640" w:firstLineChars="200"/>
        <w:jc w:val="both"/>
        <w:textAlignment w:val="auto"/>
        <w:rPr>
          <w:rFonts w:hint="eastAsia" w:ascii="仿宋" w:hAnsi="仿宋" w:eastAsia="方正仿宋_GBK"/>
          <w:color w:val="auto"/>
          <w:sz w:val="32"/>
          <w:szCs w:val="32"/>
        </w:rPr>
      </w:pPr>
      <w:r>
        <w:rPr>
          <w:rFonts w:hint="eastAsia" w:ascii="方正楷体_GBK" w:hAnsi="方正楷体_GBK" w:eastAsia="方正楷体_GBK" w:cs="方正楷体_GBK"/>
          <w:color w:val="auto"/>
          <w:sz w:val="32"/>
          <w:szCs w:val="32"/>
        </w:rPr>
        <w:t>（六）第六章法律责任。</w:t>
      </w:r>
      <w:r>
        <w:rPr>
          <w:rFonts w:hint="eastAsia" w:ascii="仿宋" w:hAnsi="仿宋" w:eastAsia="方正仿宋_GBK"/>
          <w:color w:val="auto"/>
          <w:sz w:val="32"/>
          <w:szCs w:val="32"/>
        </w:rPr>
        <w:t>针对负有主要治理职责的主体，包括政府部门、公职人员、居（村）民委员会和社区工作者等，依据其行使职权的方式和属性，分别设定法律责任，按照职责运行特点和管理层级，设定了责任的适用情形，明确了相关法律责任（第四十条至第四十</w:t>
      </w:r>
      <w:r>
        <w:rPr>
          <w:rFonts w:hint="eastAsia" w:ascii="仿宋" w:hAnsi="仿宋" w:eastAsia="方正仿宋_GBK"/>
          <w:color w:val="auto"/>
          <w:sz w:val="32"/>
          <w:szCs w:val="32"/>
          <w:lang w:eastAsia="zh-CN"/>
        </w:rPr>
        <w:t>四</w:t>
      </w:r>
      <w:r>
        <w:rPr>
          <w:rFonts w:hint="eastAsia" w:ascii="仿宋" w:hAnsi="仿宋" w:eastAsia="方正仿宋_GBK"/>
          <w:color w:val="auto"/>
          <w:sz w:val="32"/>
          <w:szCs w:val="32"/>
        </w:rPr>
        <w:t>条）。</w:t>
      </w:r>
    </w:p>
    <w:p>
      <w:pPr>
        <w:keepNext w:val="0"/>
        <w:keepLines w:val="0"/>
        <w:pageBreakBefore w:val="0"/>
        <w:widowControl w:val="0"/>
        <w:kinsoku/>
        <w:overflowPunct w:val="0"/>
        <w:topLinePunct w:val="0"/>
        <w:autoSpaceDN/>
        <w:bidi w:val="0"/>
        <w:adjustRightInd/>
        <w:snapToGrid/>
        <w:spacing w:beforeAutospacing="0" w:line="560" w:lineRule="exact"/>
        <w:ind w:left="0" w:leftChars="0" w:firstLine="640"/>
        <w:jc w:val="both"/>
        <w:textAlignment w:val="auto"/>
      </w:pPr>
      <w:r>
        <w:rPr>
          <w:rFonts w:hint="eastAsia" w:ascii="方正楷体_GBK" w:hAnsi="方正楷体_GBK" w:eastAsia="方正楷体_GBK" w:cs="方正楷体_GBK"/>
          <w:color w:val="auto"/>
          <w:sz w:val="32"/>
          <w:szCs w:val="32"/>
        </w:rPr>
        <w:t>（七）第七章附则</w:t>
      </w:r>
      <w:r>
        <w:rPr>
          <w:rFonts w:hint="eastAsia" w:ascii="方正楷体_GBK" w:hAnsi="方正楷体_GBK" w:eastAsia="方正楷体_GBK" w:cs="方正楷体_GBK"/>
          <w:color w:val="auto"/>
          <w:sz w:val="32"/>
          <w:szCs w:val="32"/>
          <w:lang w:eastAsia="zh-CN"/>
        </w:rPr>
        <w:t>。</w:t>
      </w:r>
      <w:r>
        <w:rPr>
          <w:rFonts w:hint="eastAsia" w:ascii="仿宋" w:hAnsi="仿宋" w:eastAsia="方正仿宋_GBK"/>
          <w:color w:val="auto"/>
          <w:sz w:val="32"/>
          <w:szCs w:val="32"/>
          <w:lang w:eastAsia="zh-CN"/>
        </w:rPr>
        <w:t>明确《条例》生效实施时间</w:t>
      </w:r>
      <w:r>
        <w:rPr>
          <w:rFonts w:hint="eastAsia" w:ascii="仿宋" w:hAnsi="仿宋" w:eastAsia="方正仿宋_GBK"/>
          <w:color w:val="auto"/>
          <w:sz w:val="32"/>
          <w:szCs w:val="32"/>
        </w:rPr>
        <w:t>（第四十</w:t>
      </w:r>
      <w:r>
        <w:rPr>
          <w:rFonts w:hint="eastAsia" w:ascii="仿宋" w:hAnsi="仿宋" w:eastAsia="方正仿宋_GBK"/>
          <w:color w:val="auto"/>
          <w:sz w:val="32"/>
          <w:szCs w:val="32"/>
          <w:lang w:eastAsia="zh-CN"/>
        </w:rPr>
        <w:t>五</w:t>
      </w:r>
      <w:r>
        <w:rPr>
          <w:rFonts w:hint="eastAsia" w:ascii="仿宋" w:hAnsi="仿宋" w:eastAsia="方正仿宋_GBK"/>
          <w:color w:val="auto"/>
          <w:sz w:val="32"/>
          <w:szCs w:val="32"/>
        </w:rPr>
        <w:t>条）。</w:t>
      </w:r>
      <w:bookmarkStart w:id="0" w:name="_GoBack"/>
      <w:bookmarkEnd w:id="0"/>
    </w:p>
    <w:sectPr>
      <w:footerReference r:id="rId3" w:type="default"/>
      <w:footerReference r:id="rId4" w:type="even"/>
      <w:pgSz w:w="11906" w:h="16838"/>
      <w:pgMar w:top="2098" w:right="1474" w:bottom="1701" w:left="1474" w:header="851" w:footer="1361" w:gutter="0"/>
      <w:cols w:space="720" w:num="1"/>
      <w:docGrid w:type="linesAndChars" w:linePitch="567" w:charSpace="-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Fonts w:hint="eastAsia" w:ascii="仿宋" w:hAnsi="仿宋" w:eastAsia="仿宋" w:cs="仿宋"/>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ind w:right="360" w:firstLine="360"/>
                            <w:jc w:val="right"/>
                          </w:pPr>
                          <w:r>
                            <w:rPr>
                              <w:rStyle w:val="7"/>
                              <w:rFonts w:hint="eastAsia" w:ascii="仿宋" w:hAnsi="仿宋" w:eastAsia="仿宋" w:cs="仿宋"/>
                              <w:sz w:val="28"/>
                            </w:rPr>
                            <w:t xml:space="preserve">— </w:t>
                          </w:r>
                          <w:r>
                            <w:rPr>
                              <w:rFonts w:hint="eastAsia" w:ascii="仿宋" w:hAnsi="仿宋" w:eastAsia="仿宋" w:cs="仿宋"/>
                              <w:sz w:val="28"/>
                              <w:szCs w:val="28"/>
                            </w:rPr>
                            <w:fldChar w:fldCharType="begin"/>
                          </w:r>
                          <w:r>
                            <w:rPr>
                              <w:rStyle w:val="7"/>
                              <w:rFonts w:hint="eastAsia" w:ascii="仿宋" w:hAnsi="仿宋" w:eastAsia="仿宋" w:cs="仿宋"/>
                              <w:sz w:val="28"/>
                              <w:szCs w:val="28"/>
                            </w:rPr>
                            <w:instrText xml:space="preserve"> PAGE </w:instrText>
                          </w:r>
                          <w:r>
                            <w:rPr>
                              <w:rFonts w:hint="eastAsia" w:ascii="仿宋" w:hAnsi="仿宋" w:eastAsia="仿宋" w:cs="仿宋"/>
                              <w:sz w:val="28"/>
                              <w:szCs w:val="28"/>
                            </w:rPr>
                            <w:fldChar w:fldCharType="separate"/>
                          </w:r>
                          <w:r>
                            <w:rPr>
                              <w:rStyle w:val="7"/>
                              <w:rFonts w:hint="eastAsia" w:ascii="仿宋" w:hAnsi="仿宋" w:eastAsia="仿宋" w:cs="仿宋"/>
                              <w:sz w:val="28"/>
                              <w:szCs w:val="28"/>
                            </w:rPr>
                            <w:t>1</w:t>
                          </w:r>
                          <w:r>
                            <w:rPr>
                              <w:rFonts w:hint="eastAsia" w:ascii="仿宋" w:hAnsi="仿宋" w:eastAsia="仿宋" w:cs="仿宋"/>
                              <w:sz w:val="28"/>
                              <w:szCs w:val="28"/>
                            </w:rPr>
                            <w:fldChar w:fldCharType="end"/>
                          </w:r>
                          <w:r>
                            <w:rPr>
                              <w:rStyle w:val="7"/>
                              <w:rFonts w:hint="eastAsia" w:ascii="仿宋" w:hAnsi="仿宋" w:eastAsia="仿宋" w:cs="仿宋"/>
                              <w:sz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path/>
              <v:fill on="f" focussize="0,0"/>
              <v:stroke on="f" weight="0.5pt"/>
              <v:imagedata o:title=""/>
              <o:lock v:ext="edit" aspectratio="f"/>
              <v:textbox inset="0mm,0mm,0mm,0mm" style="mso-fit-shape-to-text:t;">
                <w:txbxContent>
                  <w:p>
                    <w:pPr>
                      <w:pStyle w:val="4"/>
                      <w:ind w:right="360" w:firstLine="360"/>
                      <w:jc w:val="right"/>
                    </w:pPr>
                    <w:r>
                      <w:rPr>
                        <w:rStyle w:val="7"/>
                        <w:rFonts w:hint="eastAsia" w:ascii="仿宋" w:hAnsi="仿宋" w:eastAsia="仿宋" w:cs="仿宋"/>
                        <w:sz w:val="28"/>
                      </w:rPr>
                      <w:t xml:space="preserve">— </w:t>
                    </w:r>
                    <w:r>
                      <w:rPr>
                        <w:rFonts w:hint="eastAsia" w:ascii="仿宋" w:hAnsi="仿宋" w:eastAsia="仿宋" w:cs="仿宋"/>
                        <w:sz w:val="28"/>
                        <w:szCs w:val="28"/>
                      </w:rPr>
                      <w:fldChar w:fldCharType="begin"/>
                    </w:r>
                    <w:r>
                      <w:rPr>
                        <w:rStyle w:val="7"/>
                        <w:rFonts w:hint="eastAsia" w:ascii="仿宋" w:hAnsi="仿宋" w:eastAsia="仿宋" w:cs="仿宋"/>
                        <w:sz w:val="28"/>
                        <w:szCs w:val="28"/>
                      </w:rPr>
                      <w:instrText xml:space="preserve"> PAGE </w:instrText>
                    </w:r>
                    <w:r>
                      <w:rPr>
                        <w:rFonts w:hint="eastAsia" w:ascii="仿宋" w:hAnsi="仿宋" w:eastAsia="仿宋" w:cs="仿宋"/>
                        <w:sz w:val="28"/>
                        <w:szCs w:val="28"/>
                      </w:rPr>
                      <w:fldChar w:fldCharType="separate"/>
                    </w:r>
                    <w:r>
                      <w:rPr>
                        <w:rStyle w:val="7"/>
                        <w:rFonts w:hint="eastAsia" w:ascii="仿宋" w:hAnsi="仿宋" w:eastAsia="仿宋" w:cs="仿宋"/>
                        <w:sz w:val="28"/>
                        <w:szCs w:val="28"/>
                      </w:rPr>
                      <w:t>1</w:t>
                    </w:r>
                    <w:r>
                      <w:rPr>
                        <w:rFonts w:hint="eastAsia" w:ascii="仿宋" w:hAnsi="仿宋" w:eastAsia="仿宋" w:cs="仿宋"/>
                        <w:sz w:val="28"/>
                        <w:szCs w:val="28"/>
                      </w:rPr>
                      <w:fldChar w:fldCharType="end"/>
                    </w:r>
                    <w:r>
                      <w:rPr>
                        <w:rStyle w:val="7"/>
                        <w:rFonts w:hint="eastAsia" w:ascii="仿宋" w:hAnsi="仿宋" w:eastAsia="仿宋" w:cs="仿宋"/>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hint="eastAsia" w:ascii="仿宋" w:hAnsi="仿宋" w:eastAsia="仿宋" w:cs="仿宋"/>
      </w:rPr>
    </w:pPr>
    <w:r>
      <w:rPr>
        <w:rStyle w:val="7"/>
        <w:rFonts w:hint="eastAsia" w:ascii="仿宋" w:hAnsi="仿宋" w:eastAsia="仿宋" w:cs="仿宋"/>
        <w:sz w:val="28"/>
      </w:rPr>
      <w:t xml:space="preserve">— </w:t>
    </w:r>
    <w:r>
      <w:rPr>
        <w:rFonts w:hint="eastAsia" w:ascii="仿宋" w:hAnsi="仿宋" w:eastAsia="仿宋" w:cs="仿宋"/>
        <w:sz w:val="28"/>
        <w:szCs w:val="28"/>
      </w:rPr>
      <w:fldChar w:fldCharType="begin"/>
    </w:r>
    <w:r>
      <w:rPr>
        <w:rStyle w:val="7"/>
        <w:rFonts w:hint="eastAsia" w:ascii="仿宋" w:hAnsi="仿宋" w:eastAsia="仿宋" w:cs="仿宋"/>
        <w:sz w:val="28"/>
        <w:szCs w:val="28"/>
      </w:rPr>
      <w:instrText xml:space="preserve"> PAGE </w:instrText>
    </w:r>
    <w:r>
      <w:rPr>
        <w:rFonts w:hint="eastAsia" w:ascii="仿宋" w:hAnsi="仿宋" w:eastAsia="仿宋" w:cs="仿宋"/>
        <w:sz w:val="28"/>
        <w:szCs w:val="28"/>
      </w:rPr>
      <w:fldChar w:fldCharType="separate"/>
    </w:r>
    <w:r>
      <w:rPr>
        <w:rStyle w:val="7"/>
        <w:rFonts w:hint="eastAsia" w:ascii="仿宋" w:hAnsi="仿宋" w:eastAsia="仿宋" w:cs="仿宋"/>
        <w:sz w:val="28"/>
        <w:szCs w:val="28"/>
      </w:rPr>
      <w:t>2</w:t>
    </w:r>
    <w:r>
      <w:rPr>
        <w:rFonts w:hint="eastAsia" w:ascii="仿宋" w:hAnsi="仿宋" w:eastAsia="仿宋" w:cs="仿宋"/>
        <w:sz w:val="28"/>
        <w:szCs w:val="28"/>
      </w:rPr>
      <w:fldChar w:fldCharType="end"/>
    </w:r>
    <w:r>
      <w:rPr>
        <w:rStyle w:val="7"/>
        <w:rFonts w:hint="eastAsia" w:ascii="仿宋" w:hAnsi="仿宋" w:eastAsia="仿宋" w:cs="仿宋"/>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1F3882"/>
    <w:rsid w:val="371F3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正文首行缩进 21"/>
    <w:basedOn w:val="3"/>
    <w:next w:val="1"/>
    <w:semiHidden/>
    <w:qFormat/>
    <w:uiPriority w:val="0"/>
    <w:pPr>
      <w:spacing w:before="100" w:beforeAutospacing="1" w:after="120" w:line="240" w:lineRule="exact"/>
      <w:ind w:left="420" w:leftChars="200" w:firstLine="420" w:firstLineChars="200"/>
    </w:pPr>
    <w:rPr>
      <w:rFonts w:ascii="Calibri" w:hAnsi="Calibri" w:eastAsia="宋体" w:cs="Times New Roman"/>
      <w:sz w:val="21"/>
      <w:szCs w:val="22"/>
    </w:rPr>
  </w:style>
  <w:style w:type="paragraph" w:styleId="3">
    <w:name w:val="Body Text Indent"/>
    <w:basedOn w:val="1"/>
    <w:unhideWhenUsed/>
    <w:qFormat/>
    <w:uiPriority w:val="99"/>
    <w:pPr>
      <w:ind w:firstLine="630"/>
    </w:pPr>
    <w:rPr>
      <w:rFonts w:ascii="仿宋_GB2312" w:eastAsia="仿宋_GB2312"/>
      <w:sz w:val="32"/>
      <w:szCs w:val="20"/>
    </w:rPr>
  </w:style>
  <w:style w:type="paragraph" w:styleId="4">
    <w:name w:val="footer"/>
    <w:basedOn w:val="1"/>
    <w:unhideWhenUsed/>
    <w:qFormat/>
    <w:uiPriority w:val="99"/>
    <w:pPr>
      <w:tabs>
        <w:tab w:val="center" w:pos="4153"/>
        <w:tab w:val="right" w:pos="8306"/>
      </w:tabs>
      <w:snapToGrid w:val="0"/>
      <w:jc w:val="left"/>
    </w:pPr>
    <w:rPr>
      <w:sz w:val="18"/>
      <w:szCs w:val="20"/>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2022-05-13T09:59:00Z</dcterms:created>
  <dc:creator>韵～</dc:creator>
  <cp:lastModifiedBy>韵～</cp:lastModifiedBy>
  <dcterms:modified xsi:type="dcterms:W3CDTF">2022-05-13T10:01:20Z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