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eastAsia="方正小标宋简体"/>
          <w:b w:val="0"/>
          <w:bCs w:val="0"/>
          <w:sz w:val="44"/>
          <w:szCs w:val="44"/>
        </w:rPr>
      </w:pPr>
      <w:r>
        <w:rPr>
          <w:rFonts w:hint="eastAsia" w:ascii="仿宋_GB2312" w:hAnsi="仿宋_GB2312" w:eastAsia="仿宋_GB2312" w:cs="仿宋_GB2312"/>
          <w:b w:val="0"/>
          <w:kern w:val="2"/>
          <w:sz w:val="32"/>
          <w:szCs w:val="32"/>
          <w:lang w:val="en-US" w:eastAsia="zh-CN" w:bidi="ar"/>
        </w:rPr>
        <w:t>附件</w:t>
      </w:r>
      <w:bookmarkStart w:id="0" w:name="第一条_【编制目的】"/>
      <w:bookmarkEnd w:id="0"/>
    </w:p>
    <w:p>
      <w:pPr>
        <w:pageBreakBefore w:val="0"/>
        <w:widowControl/>
        <w:kinsoku/>
        <w:wordWrap/>
        <w:overflowPunct/>
        <w:topLinePunct w:val="0"/>
        <w:autoSpaceDE/>
        <w:autoSpaceDN/>
        <w:bidi w:val="0"/>
        <w:spacing w:line="560" w:lineRule="exact"/>
        <w:jc w:val="both"/>
        <w:textAlignment w:val="auto"/>
        <w:rPr>
          <w:rFonts w:hint="eastAsia" w:eastAsia="方正小标宋简体"/>
          <w:color w:val="000000"/>
          <w:sz w:val="44"/>
          <w:szCs w:val="44"/>
        </w:rPr>
      </w:pPr>
    </w:p>
    <w:p>
      <w:pPr>
        <w:pageBreakBefore w:val="0"/>
        <w:widowControl/>
        <w:kinsoku/>
        <w:wordWrap/>
        <w:overflowPunct/>
        <w:topLinePunct w:val="0"/>
        <w:autoSpaceDE/>
        <w:autoSpaceDN/>
        <w:bidi w:val="0"/>
        <w:spacing w:line="560" w:lineRule="exact"/>
        <w:jc w:val="center"/>
        <w:textAlignment w:val="auto"/>
        <w:rPr>
          <w:rFonts w:hint="eastAsia" w:eastAsia="方正小标宋简体"/>
          <w:color w:val="000000"/>
          <w:sz w:val="44"/>
          <w:szCs w:val="44"/>
        </w:rPr>
      </w:pPr>
      <w:r>
        <w:rPr>
          <w:rFonts w:hint="eastAsia" w:eastAsia="方正小标宋简体"/>
          <w:color w:val="000000"/>
          <w:sz w:val="44"/>
          <w:szCs w:val="44"/>
        </w:rPr>
        <w:t>湖北省碳市场建设促进条例</w:t>
      </w:r>
    </w:p>
    <w:p>
      <w:pPr>
        <w:pageBreakBefore w:val="0"/>
        <w:widowControl/>
        <w:kinsoku/>
        <w:wordWrap/>
        <w:overflowPunct/>
        <w:topLinePunct w:val="0"/>
        <w:autoSpaceDE/>
        <w:autoSpaceDN/>
        <w:bidi w:val="0"/>
        <w:spacing w:line="560" w:lineRule="exact"/>
        <w:jc w:val="center"/>
        <w:textAlignment w:val="auto"/>
        <w:rPr>
          <w:color w:val="000000"/>
          <w:szCs w:val="32"/>
        </w:rPr>
      </w:pPr>
      <w:r>
        <w:rPr>
          <w:rFonts w:hint="eastAsia" w:ascii="国标楷体" w:hAnsi="国标楷体" w:eastAsia="国标楷体" w:cs="国标楷体"/>
          <w:color w:val="000000"/>
          <w:sz w:val="32"/>
          <w:szCs w:val="32"/>
        </w:rPr>
        <w:t>（草案送审稿）</w:t>
      </w:r>
    </w:p>
    <w:p>
      <w:pPr>
        <w:pageBreakBefore w:val="0"/>
        <w:widowControl/>
        <w:kinsoku/>
        <w:wordWrap/>
        <w:overflowPunct/>
        <w:topLinePunct w:val="0"/>
        <w:autoSpaceDE/>
        <w:autoSpaceDN/>
        <w:bidi w:val="0"/>
        <w:spacing w:line="560" w:lineRule="exact"/>
        <w:ind w:firstLine="632" w:firstLineChars="200"/>
        <w:jc w:val="both"/>
        <w:textAlignment w:val="auto"/>
        <w:rPr>
          <w:color w:val="000000"/>
          <w:szCs w:val="32"/>
        </w:rPr>
      </w:pPr>
    </w:p>
    <w:p>
      <w:pPr>
        <w:pageBreakBefore w:val="0"/>
        <w:widowControl/>
        <w:kinsoku/>
        <w:wordWrap/>
        <w:overflowPunct/>
        <w:topLinePunct w:val="0"/>
        <w:autoSpaceDE/>
        <w:autoSpaceDN/>
        <w:bidi w:val="0"/>
        <w:spacing w:line="560" w:lineRule="exact"/>
        <w:jc w:val="center"/>
        <w:textAlignment w:val="auto"/>
        <w:rPr>
          <w:rFonts w:hint="eastAsia" w:ascii="国标楷体" w:hAnsi="国标楷体" w:eastAsia="国标楷体" w:cs="国标楷体"/>
          <w:color w:val="000000"/>
          <w:szCs w:val="32"/>
          <w:lang w:eastAsia="zh-CN"/>
        </w:rPr>
      </w:pPr>
      <w:r>
        <w:rPr>
          <w:rFonts w:hint="eastAsia" w:ascii="国标楷体" w:hAnsi="国标楷体" w:eastAsia="国标楷体" w:cs="国标楷体"/>
          <w:color w:val="000000"/>
          <w:szCs w:val="32"/>
          <w:lang w:eastAsia="zh-CN"/>
        </w:rPr>
        <w:t>目</w:t>
      </w:r>
      <w:r>
        <w:rPr>
          <w:rFonts w:hint="eastAsia" w:ascii="国标楷体" w:hAnsi="国标楷体" w:eastAsia="国标楷体" w:cs="国标楷体"/>
          <w:color w:val="000000"/>
          <w:szCs w:val="32"/>
          <w:lang w:val="en-US" w:eastAsia="zh-CN"/>
        </w:rPr>
        <w:t xml:space="preserve">    </w:t>
      </w:r>
      <w:r>
        <w:rPr>
          <w:rFonts w:hint="eastAsia" w:ascii="国标楷体" w:hAnsi="国标楷体" w:eastAsia="国标楷体" w:cs="国标楷体"/>
          <w:color w:val="000000"/>
          <w:szCs w:val="32"/>
          <w:lang w:eastAsia="zh-CN"/>
        </w:rPr>
        <w:t>录</w:t>
      </w:r>
    </w:p>
    <w:p>
      <w:pPr>
        <w:pageBreakBefore w:val="0"/>
        <w:widowControl/>
        <w:kinsoku/>
        <w:wordWrap/>
        <w:overflowPunct/>
        <w:topLinePunct w:val="0"/>
        <w:autoSpaceDE/>
        <w:autoSpaceDN/>
        <w:bidi w:val="0"/>
        <w:spacing w:line="560" w:lineRule="exact"/>
        <w:ind w:firstLine="632" w:firstLineChars="200"/>
        <w:jc w:val="left"/>
        <w:textAlignment w:val="auto"/>
        <w:rPr>
          <w:rFonts w:hint="eastAsia" w:ascii="国标楷体" w:hAnsi="国标楷体" w:eastAsia="国标楷体" w:cs="国标楷体"/>
          <w:szCs w:val="32"/>
        </w:rPr>
      </w:pPr>
      <w:r>
        <w:rPr>
          <w:rFonts w:hint="eastAsia" w:ascii="国标楷体" w:hAnsi="国标楷体" w:eastAsia="国标楷体" w:cs="国标楷体"/>
          <w:szCs w:val="32"/>
        </w:rPr>
        <w:t>第一章</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总</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则</w:t>
      </w:r>
    </w:p>
    <w:p>
      <w:pPr>
        <w:pageBreakBefore w:val="0"/>
        <w:widowControl/>
        <w:kinsoku/>
        <w:wordWrap/>
        <w:overflowPunct/>
        <w:topLinePunct w:val="0"/>
        <w:autoSpaceDE/>
        <w:autoSpaceDN/>
        <w:bidi w:val="0"/>
        <w:spacing w:line="560" w:lineRule="exact"/>
        <w:ind w:firstLine="632" w:firstLineChars="200"/>
        <w:jc w:val="left"/>
        <w:textAlignment w:val="auto"/>
        <w:rPr>
          <w:rFonts w:hint="eastAsia" w:ascii="国标楷体" w:hAnsi="国标楷体" w:eastAsia="国标楷体" w:cs="国标楷体"/>
          <w:szCs w:val="32"/>
        </w:rPr>
      </w:pPr>
      <w:r>
        <w:rPr>
          <w:rFonts w:hint="eastAsia" w:ascii="国标楷体" w:hAnsi="国标楷体" w:eastAsia="国标楷体" w:cs="国标楷体"/>
          <w:szCs w:val="32"/>
        </w:rPr>
        <w:t xml:space="preserve">第二章 </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碳交易管理</w:t>
      </w:r>
    </w:p>
    <w:p>
      <w:pPr>
        <w:pageBreakBefore w:val="0"/>
        <w:widowControl/>
        <w:kinsoku/>
        <w:wordWrap/>
        <w:overflowPunct/>
        <w:topLinePunct w:val="0"/>
        <w:autoSpaceDE/>
        <w:autoSpaceDN/>
        <w:bidi w:val="0"/>
        <w:spacing w:line="560" w:lineRule="exact"/>
        <w:ind w:firstLine="632" w:firstLineChars="200"/>
        <w:jc w:val="left"/>
        <w:textAlignment w:val="auto"/>
        <w:rPr>
          <w:rFonts w:hint="eastAsia" w:ascii="国标楷体" w:hAnsi="国标楷体" w:eastAsia="国标楷体" w:cs="国标楷体"/>
          <w:szCs w:val="32"/>
        </w:rPr>
      </w:pPr>
      <w:r>
        <w:rPr>
          <w:rFonts w:hint="eastAsia" w:ascii="国标楷体" w:hAnsi="国标楷体" w:eastAsia="国标楷体" w:cs="国标楷体"/>
          <w:szCs w:val="32"/>
        </w:rPr>
        <w:t xml:space="preserve">第三章 </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多元化服务</w:t>
      </w:r>
    </w:p>
    <w:p>
      <w:pPr>
        <w:pageBreakBefore w:val="0"/>
        <w:widowControl/>
        <w:kinsoku/>
        <w:wordWrap/>
        <w:overflowPunct/>
        <w:topLinePunct w:val="0"/>
        <w:autoSpaceDE/>
        <w:autoSpaceDN/>
        <w:bidi w:val="0"/>
        <w:spacing w:line="560" w:lineRule="exact"/>
        <w:ind w:firstLine="632" w:firstLineChars="200"/>
        <w:jc w:val="left"/>
        <w:textAlignment w:val="auto"/>
        <w:rPr>
          <w:rFonts w:hint="eastAsia" w:ascii="国标楷体" w:hAnsi="国标楷体" w:eastAsia="国标楷体" w:cs="国标楷体"/>
          <w:szCs w:val="32"/>
        </w:rPr>
      </w:pPr>
      <w:r>
        <w:rPr>
          <w:rFonts w:hint="eastAsia" w:ascii="国标楷体" w:hAnsi="国标楷体" w:eastAsia="国标楷体" w:cs="国标楷体"/>
          <w:szCs w:val="32"/>
        </w:rPr>
        <w:t xml:space="preserve">第四章 </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绿色低碳转型</w:t>
      </w:r>
    </w:p>
    <w:p>
      <w:pPr>
        <w:pageBreakBefore w:val="0"/>
        <w:widowControl/>
        <w:kinsoku/>
        <w:wordWrap/>
        <w:overflowPunct/>
        <w:topLinePunct w:val="0"/>
        <w:autoSpaceDE/>
        <w:autoSpaceDN/>
        <w:bidi w:val="0"/>
        <w:spacing w:line="560" w:lineRule="exact"/>
        <w:ind w:firstLine="632" w:firstLineChars="200"/>
        <w:jc w:val="left"/>
        <w:textAlignment w:val="auto"/>
        <w:rPr>
          <w:rFonts w:hint="eastAsia" w:ascii="国标楷体" w:hAnsi="国标楷体" w:eastAsia="国标楷体" w:cs="国标楷体"/>
          <w:szCs w:val="32"/>
        </w:rPr>
      </w:pPr>
      <w:r>
        <w:rPr>
          <w:rFonts w:hint="eastAsia" w:ascii="国标楷体" w:hAnsi="国标楷体" w:eastAsia="国标楷体" w:cs="国标楷体"/>
          <w:szCs w:val="32"/>
        </w:rPr>
        <w:t xml:space="preserve">第五章 </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保障与监督</w:t>
      </w:r>
    </w:p>
    <w:p>
      <w:pPr>
        <w:pageBreakBefore w:val="0"/>
        <w:widowControl/>
        <w:kinsoku/>
        <w:wordWrap/>
        <w:overflowPunct/>
        <w:topLinePunct w:val="0"/>
        <w:autoSpaceDE/>
        <w:autoSpaceDN/>
        <w:bidi w:val="0"/>
        <w:spacing w:line="560" w:lineRule="exact"/>
        <w:ind w:firstLine="632" w:firstLineChars="200"/>
        <w:jc w:val="left"/>
        <w:textAlignment w:val="auto"/>
        <w:rPr>
          <w:rFonts w:hint="eastAsia" w:ascii="国标楷体" w:hAnsi="国标楷体" w:eastAsia="国标楷体" w:cs="国标楷体"/>
          <w:szCs w:val="32"/>
        </w:rPr>
      </w:pPr>
      <w:r>
        <w:rPr>
          <w:rFonts w:hint="eastAsia" w:ascii="国标楷体" w:hAnsi="国标楷体" w:eastAsia="国标楷体" w:cs="国标楷体"/>
          <w:szCs w:val="32"/>
        </w:rPr>
        <w:t xml:space="preserve">第六章 </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法律责任</w:t>
      </w:r>
    </w:p>
    <w:p>
      <w:pPr>
        <w:pageBreakBefore w:val="0"/>
        <w:widowControl/>
        <w:kinsoku/>
        <w:wordWrap/>
        <w:overflowPunct/>
        <w:topLinePunct w:val="0"/>
        <w:autoSpaceDE/>
        <w:autoSpaceDN/>
        <w:bidi w:val="0"/>
        <w:spacing w:line="560" w:lineRule="exact"/>
        <w:ind w:firstLine="632" w:firstLineChars="200"/>
        <w:jc w:val="left"/>
        <w:textAlignment w:val="auto"/>
        <w:rPr>
          <w:rFonts w:hint="eastAsia" w:ascii="国标楷体" w:hAnsi="国标楷体" w:eastAsia="国标楷体" w:cs="国标楷体"/>
          <w:szCs w:val="32"/>
        </w:rPr>
      </w:pPr>
      <w:r>
        <w:rPr>
          <w:rFonts w:hint="eastAsia" w:ascii="国标楷体" w:hAnsi="国标楷体" w:eastAsia="国标楷体" w:cs="国标楷体"/>
          <w:szCs w:val="32"/>
        </w:rPr>
        <w:t xml:space="preserve">第七章 </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附</w:t>
      </w:r>
      <w:r>
        <w:rPr>
          <w:rFonts w:hint="eastAsia" w:ascii="国标楷体" w:hAnsi="国标楷体" w:eastAsia="国标楷体" w:cs="国标楷体"/>
          <w:szCs w:val="32"/>
          <w:lang w:val="en-US" w:eastAsia="zh-CN"/>
        </w:rPr>
        <w:t xml:space="preserve">    </w:t>
      </w:r>
      <w:r>
        <w:rPr>
          <w:rFonts w:hint="eastAsia" w:ascii="国标楷体" w:hAnsi="国标楷体" w:eastAsia="国标楷体" w:cs="国标楷体"/>
          <w:szCs w:val="32"/>
        </w:rPr>
        <w:t>则</w:t>
      </w:r>
    </w:p>
    <w:p>
      <w:pPr>
        <w:pageBreakBefore w:val="0"/>
        <w:widowControl/>
        <w:kinsoku/>
        <w:wordWrap/>
        <w:overflowPunct/>
        <w:topLinePunct w:val="0"/>
        <w:autoSpaceDE/>
        <w:autoSpaceDN/>
        <w:bidi w:val="0"/>
        <w:spacing w:line="560" w:lineRule="exact"/>
        <w:ind w:firstLine="632" w:firstLineChars="200"/>
        <w:textAlignment w:val="auto"/>
      </w:pPr>
    </w:p>
    <w:p>
      <w:pPr>
        <w:keepNext/>
        <w:keepLines/>
        <w:pageBreakBefore w:val="0"/>
        <w:kinsoku/>
        <w:wordWrap/>
        <w:overflowPunct/>
        <w:topLinePunct w:val="0"/>
        <w:autoSpaceDE/>
        <w:autoSpaceDN/>
        <w:bidi w:val="0"/>
        <w:spacing w:line="560" w:lineRule="exact"/>
        <w:jc w:val="center"/>
        <w:textAlignment w:val="auto"/>
        <w:outlineLvl w:val="0"/>
        <w:rPr>
          <w:rFonts w:eastAsia="黑体"/>
          <w:color w:val="000000"/>
          <w:kern w:val="44"/>
        </w:rPr>
      </w:pPr>
      <w:r>
        <w:rPr>
          <w:rFonts w:hint="eastAsia" w:eastAsia="黑体"/>
          <w:color w:val="000000"/>
          <w:kern w:val="44"/>
        </w:rPr>
        <w:t>第一章</w:t>
      </w:r>
      <w:r>
        <w:rPr>
          <w:rFonts w:hint="eastAsia" w:eastAsia="黑体"/>
          <w:color w:val="000000"/>
          <w:kern w:val="44"/>
          <w:lang w:val="en-US" w:eastAsia="zh-CN"/>
        </w:rPr>
        <w:t xml:space="preserve">  </w:t>
      </w:r>
      <w:r>
        <w:rPr>
          <w:rFonts w:hint="eastAsia" w:eastAsia="黑体"/>
          <w:color w:val="000000"/>
          <w:kern w:val="44"/>
        </w:rPr>
        <w:t>总</w:t>
      </w:r>
      <w:r>
        <w:rPr>
          <w:rFonts w:hint="eastAsia" w:eastAsia="黑体"/>
          <w:color w:val="000000"/>
          <w:kern w:val="44"/>
          <w:lang w:val="en-US" w:eastAsia="zh-CN"/>
        </w:rPr>
        <w:t xml:space="preserve">  </w:t>
      </w:r>
      <w:r>
        <w:rPr>
          <w:rFonts w:hint="eastAsia" w:eastAsia="黑体"/>
          <w:color w:val="000000"/>
          <w:kern w:val="44"/>
        </w:rPr>
        <w:t>则</w:t>
      </w:r>
    </w:p>
    <w:p>
      <w:pPr>
        <w:pageBreakBefore w:val="0"/>
        <w:kinsoku/>
        <w:wordWrap/>
        <w:overflowPunct/>
        <w:topLinePunct w:val="0"/>
        <w:autoSpaceDE/>
        <w:autoSpaceDN/>
        <w:bidi w:val="0"/>
        <w:spacing w:line="560" w:lineRule="exact"/>
        <w:ind w:firstLine="632" w:firstLineChars="200"/>
        <w:textAlignment w:val="auto"/>
        <w:outlineLvl w:val="1"/>
        <w:rPr>
          <w:rFonts w:hint="eastAsia" w:eastAsia="黑体"/>
          <w:color w:val="000000"/>
        </w:rPr>
      </w:pP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第一条【立法</w:t>
      </w:r>
      <w:r>
        <w:rPr>
          <w:rFonts w:eastAsia="黑体"/>
          <w:color w:val="000000"/>
        </w:rPr>
        <w:t>目的</w:t>
      </w:r>
      <w:r>
        <w:rPr>
          <w:rFonts w:hint="eastAsia" w:eastAsia="黑体"/>
          <w:color w:val="000000"/>
        </w:rPr>
        <w:t>】</w:t>
      </w:r>
      <w:r>
        <w:rPr>
          <w:rFonts w:hint="eastAsia" w:eastAsia="黑体"/>
          <w:color w:val="000000"/>
          <w:lang w:val="en-US" w:eastAsia="zh-CN"/>
        </w:rPr>
        <w:t xml:space="preserve">  </w:t>
      </w:r>
      <w:r>
        <w:rPr>
          <w:color w:val="000000"/>
        </w:rPr>
        <w:t>为了促进碳市场建设，推动经济社会发展全面绿色转型，推进</w:t>
      </w:r>
      <w:r>
        <w:rPr>
          <w:rFonts w:hint="eastAsia"/>
          <w:color w:val="000000"/>
        </w:rPr>
        <w:t>美丽湖北建设，</w:t>
      </w:r>
      <w:r>
        <w:rPr>
          <w:color w:val="000000"/>
        </w:rPr>
        <w:t>实现碳达峰、碳中和目标，</w:t>
      </w:r>
      <w:r>
        <w:rPr>
          <w:rFonts w:hint="eastAsia"/>
          <w:color w:val="000000"/>
        </w:rPr>
        <w:t>落实积极应对气候变化国家战略，</w:t>
      </w:r>
      <w:r>
        <w:rPr>
          <w:color w:val="000000"/>
        </w:rPr>
        <w:t>根据《</w:t>
      </w:r>
      <w:r>
        <w:rPr>
          <w:rFonts w:hint="eastAsia"/>
          <w:color w:val="000000"/>
        </w:rPr>
        <w:t>中华人民共和国</w:t>
      </w:r>
      <w:r>
        <w:rPr>
          <w:color w:val="000000"/>
        </w:rPr>
        <w:t>生态环境法典》</w:t>
      </w:r>
      <w:r>
        <w:rPr>
          <w:rFonts w:hint="eastAsia"/>
          <w:color w:val="000000"/>
        </w:rPr>
        <w:t>《中华人民共和国能源法》</w:t>
      </w:r>
      <w:r>
        <w:rPr>
          <w:color w:val="000000"/>
        </w:rPr>
        <w:t>《碳排放权交易管理暂行条例》等法律、行政法规，结合本省实际，制定本条例。</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第二条【适用</w:t>
      </w:r>
      <w:r>
        <w:rPr>
          <w:rFonts w:eastAsia="黑体"/>
          <w:color w:val="000000"/>
        </w:rPr>
        <w:t>范围</w:t>
      </w:r>
      <w:r>
        <w:rPr>
          <w:rFonts w:hint="eastAsia" w:eastAsia="黑体"/>
          <w:color w:val="000000"/>
        </w:rPr>
        <w:t>】</w:t>
      </w:r>
      <w:r>
        <w:rPr>
          <w:rFonts w:hint="eastAsia" w:eastAsia="黑体"/>
          <w:color w:val="000000"/>
          <w:lang w:val="en-US" w:eastAsia="zh-CN"/>
        </w:rPr>
        <w:t xml:space="preserve">  </w:t>
      </w:r>
      <w:r>
        <w:rPr>
          <w:rFonts w:hint="eastAsia"/>
          <w:color w:val="000000"/>
        </w:rPr>
        <w:t>本条例</w:t>
      </w:r>
      <w:r>
        <w:rPr>
          <w:color w:val="000000"/>
        </w:rPr>
        <w:t>适用于本省行政区域内</w:t>
      </w:r>
      <w:r>
        <w:rPr>
          <w:rFonts w:hint="eastAsia"/>
          <w:color w:val="000000"/>
        </w:rPr>
        <w:t>促进</w:t>
      </w:r>
      <w:r>
        <w:rPr>
          <w:color w:val="000000"/>
        </w:rPr>
        <w:t>碳市场建设的相关活动。</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第三条【</w:t>
      </w:r>
      <w:r>
        <w:rPr>
          <w:rFonts w:eastAsia="黑体"/>
          <w:color w:val="000000"/>
        </w:rPr>
        <w:t>基本</w:t>
      </w:r>
      <w:r>
        <w:rPr>
          <w:rFonts w:hint="eastAsia" w:eastAsia="黑体"/>
          <w:color w:val="000000"/>
        </w:rPr>
        <w:t>原则】</w:t>
      </w:r>
      <w:r>
        <w:rPr>
          <w:rFonts w:hint="eastAsia" w:eastAsia="黑体"/>
          <w:color w:val="000000"/>
          <w:lang w:val="en-US" w:eastAsia="zh-CN"/>
        </w:rPr>
        <w:t xml:space="preserve">  </w:t>
      </w:r>
      <w:r>
        <w:rPr>
          <w:rFonts w:hint="eastAsia"/>
          <w:color w:val="000000"/>
        </w:rPr>
        <w:t>碳市场建设促进相关活动应当坚持中国共产党的领导，坚持温室气体排放控制与经济社会发展相适应，坚持政府引导、市场主导、科技创新、公众参与、风险防范原则，协同推进降碳、减污、扩绿、增长。</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w:t>
      </w:r>
      <w:r>
        <w:rPr>
          <w:rFonts w:eastAsia="黑体"/>
          <w:color w:val="000000"/>
        </w:rPr>
        <w:t>四条【</w:t>
      </w:r>
      <w:r>
        <w:rPr>
          <w:rFonts w:hint="eastAsia" w:eastAsia="黑体"/>
          <w:color w:val="000000"/>
        </w:rPr>
        <w:t>政府</w:t>
      </w:r>
      <w:r>
        <w:rPr>
          <w:rFonts w:eastAsia="黑体"/>
          <w:color w:val="000000"/>
        </w:rPr>
        <w:t>职责】</w:t>
      </w:r>
      <w:r>
        <w:rPr>
          <w:rFonts w:hint="eastAsia" w:eastAsia="黑体"/>
          <w:color w:val="000000"/>
          <w:lang w:val="en-US" w:eastAsia="zh-CN"/>
        </w:rPr>
        <w:t xml:space="preserve">  </w:t>
      </w:r>
      <w:r>
        <w:rPr>
          <w:rFonts w:hint="eastAsia"/>
          <w:color w:val="000000"/>
        </w:rPr>
        <w:t>省人民政府统一</w:t>
      </w:r>
      <w:r>
        <w:rPr>
          <w:color w:val="000000"/>
        </w:rPr>
        <w:t>领导全省碳市场建设促进工作，</w:t>
      </w:r>
      <w:r>
        <w:rPr>
          <w:rFonts w:hint="eastAsia"/>
          <w:color w:val="000000"/>
        </w:rPr>
        <w:t>采取有利于促进碳市场建设等应对</w:t>
      </w:r>
      <w:r>
        <w:rPr>
          <w:color w:val="000000"/>
        </w:rPr>
        <w:t>气候变化举措</w:t>
      </w:r>
      <w:r>
        <w:rPr>
          <w:rFonts w:hint="eastAsia"/>
          <w:color w:val="000000"/>
        </w:rPr>
        <w:t>，推进碳市场运行顺畅、绿色金融创新、服务多元化增值，加快</w:t>
      </w:r>
      <w:r>
        <w:rPr>
          <w:color w:val="000000"/>
        </w:rPr>
        <w:t>经济社会发展</w:t>
      </w:r>
      <w:r>
        <w:rPr>
          <w:rFonts w:hint="eastAsia"/>
          <w:color w:val="000000"/>
        </w:rPr>
        <w:t>绿色低碳转型。</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设区的市（州）级人民政府应当加强本行政区域碳市场建设促进工作，将碳市场建设促进纳入本级国民经济和社会发展规划、年度计划以及生态环境保护、资源利用、产业发展、区域开发等规划。</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县级人民政府负责本行政区域碳市场建设促进相关工作具体</w:t>
      </w:r>
      <w:r>
        <w:rPr>
          <w:color w:val="000000"/>
        </w:rPr>
        <w:t>落实</w:t>
      </w:r>
      <w:r>
        <w:rPr>
          <w:rFonts w:hint="eastAsia"/>
          <w:color w:val="000000"/>
        </w:rPr>
        <w:t>。</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碳市场建设促进和相关活动的工作经费，纳入本级政府财政预算。</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第五</w:t>
      </w:r>
      <w:r>
        <w:rPr>
          <w:rFonts w:eastAsia="黑体"/>
          <w:color w:val="000000"/>
        </w:rPr>
        <w:t>条【</w:t>
      </w:r>
      <w:r>
        <w:rPr>
          <w:rFonts w:hint="eastAsia" w:eastAsia="黑体"/>
          <w:color w:val="000000"/>
        </w:rPr>
        <w:t>部门</w:t>
      </w:r>
      <w:r>
        <w:rPr>
          <w:rFonts w:eastAsia="黑体"/>
          <w:color w:val="000000"/>
        </w:rPr>
        <w:t>职责】</w:t>
      </w:r>
      <w:r>
        <w:rPr>
          <w:rFonts w:hint="eastAsia" w:eastAsia="黑体"/>
          <w:color w:val="000000"/>
          <w:lang w:val="en-US" w:eastAsia="zh-CN"/>
        </w:rPr>
        <w:t xml:space="preserve">  </w:t>
      </w:r>
      <w:r>
        <w:rPr>
          <w:rFonts w:hint="eastAsia"/>
          <w:color w:val="000000"/>
        </w:rPr>
        <w:t>省人民政府发展改革、科学技术、经济和信息化、财政、税务</w:t>
      </w:r>
      <w:r>
        <w:rPr>
          <w:color w:val="000000"/>
        </w:rPr>
        <w:t>、</w:t>
      </w:r>
      <w:r>
        <w:rPr>
          <w:rFonts w:hint="eastAsia"/>
          <w:color w:val="000000"/>
        </w:rPr>
        <w:t>生态环境、自然</w:t>
      </w:r>
      <w:r>
        <w:rPr>
          <w:color w:val="000000"/>
        </w:rPr>
        <w:t>资源、</w:t>
      </w:r>
      <w:r>
        <w:rPr>
          <w:rFonts w:hint="eastAsia"/>
          <w:color w:val="000000"/>
        </w:rPr>
        <w:t>住房城乡建设、交通运输、农业农村、商务、文化旅游、统计</w:t>
      </w:r>
      <w:r>
        <w:rPr>
          <w:color w:val="000000"/>
        </w:rPr>
        <w:t>、</w:t>
      </w:r>
      <w:r>
        <w:rPr>
          <w:rFonts w:hint="eastAsia"/>
          <w:color w:val="000000"/>
        </w:rPr>
        <w:t>国有</w:t>
      </w:r>
      <w:r>
        <w:rPr>
          <w:color w:val="000000"/>
        </w:rPr>
        <w:t>资产监督管理、</w:t>
      </w:r>
      <w:r>
        <w:rPr>
          <w:rFonts w:hint="eastAsia"/>
          <w:color w:val="000000"/>
        </w:rPr>
        <w:t>市场监管、数据、地方金融管理、林业、人行湖北省分行等部门单位，按照各自职责，负责有关碳市场建设促进相关工作。</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第六</w:t>
      </w:r>
      <w:r>
        <w:rPr>
          <w:rFonts w:eastAsia="黑体"/>
          <w:color w:val="000000"/>
        </w:rPr>
        <w:t>条【</w:t>
      </w:r>
      <w:r>
        <w:rPr>
          <w:rFonts w:hint="eastAsia" w:eastAsia="黑体"/>
          <w:color w:val="000000"/>
        </w:rPr>
        <w:t>科学研究</w:t>
      </w:r>
      <w:r>
        <w:rPr>
          <w:rFonts w:eastAsia="黑体"/>
          <w:color w:val="000000"/>
        </w:rPr>
        <w:t>、宣传与</w:t>
      </w:r>
      <w:r>
        <w:rPr>
          <w:rFonts w:hint="eastAsia" w:eastAsia="黑体"/>
          <w:color w:val="000000"/>
        </w:rPr>
        <w:t>教育</w:t>
      </w:r>
      <w:r>
        <w:rPr>
          <w:rFonts w:eastAsia="黑体"/>
          <w:color w:val="000000"/>
        </w:rPr>
        <w:t>】</w:t>
      </w:r>
      <w:r>
        <w:rPr>
          <w:rFonts w:hint="eastAsia" w:eastAsia="黑体"/>
          <w:color w:val="000000"/>
          <w:lang w:val="en-US" w:eastAsia="zh-CN"/>
        </w:rPr>
        <w:t xml:space="preserve">  </w:t>
      </w:r>
      <w:r>
        <w:rPr>
          <w:color w:val="000000"/>
        </w:rPr>
        <w:t>省人民政府鼓励、支持开展碳市场建设促进相关科学研究、技术开发和国际合作，鼓励社会团体和公众参与碳市场建设促进的宣传、教育、推广、实施和监督。</w:t>
      </w:r>
    </w:p>
    <w:p>
      <w:pPr>
        <w:pageBreakBefore w:val="0"/>
        <w:kinsoku/>
        <w:wordWrap/>
        <w:overflowPunct/>
        <w:topLinePunct w:val="0"/>
        <w:autoSpaceDE/>
        <w:autoSpaceDN/>
        <w:bidi w:val="0"/>
        <w:spacing w:line="560" w:lineRule="exact"/>
        <w:ind w:firstLine="632" w:firstLineChars="200"/>
        <w:textAlignment w:val="auto"/>
        <w:rPr>
          <w:color w:val="000000"/>
        </w:rPr>
      </w:pPr>
      <w:r>
        <w:rPr>
          <w:color w:val="000000"/>
        </w:rPr>
        <w:t>县级以上人民政府及其有关部门应当加强绿色低碳发展相关法律、法规、规章和政策的宣传，在全国节能宣传周、全国低碳日等开展主题宣传活动，倡导绿色低碳、文明健康的生活理念和消费方式，鼓励将绿色低碳理念融入市民公约、村规民约、学生守则、团体章程等社会规范，增强公民绿色低碳意识。</w:t>
      </w:r>
    </w:p>
    <w:p>
      <w:pPr>
        <w:keepNext/>
        <w:keepLines/>
        <w:pageBreakBefore w:val="0"/>
        <w:kinsoku/>
        <w:wordWrap/>
        <w:overflowPunct/>
        <w:topLinePunct w:val="0"/>
        <w:autoSpaceDE/>
        <w:autoSpaceDN/>
        <w:bidi w:val="0"/>
        <w:spacing w:line="560" w:lineRule="exact"/>
        <w:ind w:firstLine="632" w:firstLineChars="200"/>
        <w:jc w:val="center"/>
        <w:textAlignment w:val="auto"/>
        <w:outlineLvl w:val="0"/>
        <w:rPr>
          <w:rFonts w:hint="eastAsia" w:eastAsia="黑体"/>
          <w:color w:val="000000"/>
          <w:kern w:val="44"/>
        </w:rPr>
      </w:pPr>
    </w:p>
    <w:p>
      <w:pPr>
        <w:keepNext/>
        <w:keepLines/>
        <w:pageBreakBefore w:val="0"/>
        <w:kinsoku/>
        <w:wordWrap/>
        <w:overflowPunct/>
        <w:topLinePunct w:val="0"/>
        <w:autoSpaceDE/>
        <w:autoSpaceDN/>
        <w:bidi w:val="0"/>
        <w:spacing w:line="560" w:lineRule="exact"/>
        <w:jc w:val="center"/>
        <w:textAlignment w:val="auto"/>
        <w:outlineLvl w:val="0"/>
        <w:rPr>
          <w:rFonts w:eastAsia="黑体"/>
          <w:color w:val="000000"/>
          <w:kern w:val="44"/>
        </w:rPr>
      </w:pPr>
      <w:r>
        <w:rPr>
          <w:rFonts w:hint="eastAsia" w:eastAsia="黑体"/>
          <w:color w:val="000000"/>
          <w:kern w:val="44"/>
        </w:rPr>
        <w:t xml:space="preserve">第二章 </w:t>
      </w:r>
      <w:r>
        <w:rPr>
          <w:rFonts w:hint="eastAsia" w:eastAsia="黑体"/>
          <w:color w:val="000000"/>
          <w:kern w:val="44"/>
          <w:lang w:val="en-US" w:eastAsia="zh-CN"/>
        </w:rPr>
        <w:t xml:space="preserve"> </w:t>
      </w:r>
      <w:r>
        <w:rPr>
          <w:rFonts w:hint="eastAsia" w:eastAsia="黑体"/>
          <w:color w:val="000000"/>
          <w:kern w:val="44"/>
        </w:rPr>
        <w:t>碳交易</w:t>
      </w:r>
      <w:r>
        <w:rPr>
          <w:rFonts w:eastAsia="黑体"/>
          <w:color w:val="000000"/>
          <w:kern w:val="44"/>
        </w:rPr>
        <w:t>管理</w:t>
      </w:r>
    </w:p>
    <w:p>
      <w:pPr>
        <w:pageBreakBefore w:val="0"/>
        <w:kinsoku/>
        <w:wordWrap/>
        <w:overflowPunct/>
        <w:topLinePunct w:val="0"/>
        <w:autoSpaceDE/>
        <w:autoSpaceDN/>
        <w:bidi w:val="0"/>
        <w:spacing w:line="560" w:lineRule="exact"/>
        <w:ind w:firstLine="632" w:firstLineChars="200"/>
        <w:textAlignment w:val="auto"/>
        <w:outlineLvl w:val="1"/>
        <w:rPr>
          <w:rFonts w:hint="eastAsia" w:eastAsia="黑体"/>
          <w:color w:val="000000"/>
        </w:rPr>
      </w:pPr>
    </w:p>
    <w:p>
      <w:pPr>
        <w:pageBreakBefore w:val="0"/>
        <w:kinsoku/>
        <w:wordWrap/>
        <w:overflowPunct/>
        <w:topLinePunct w:val="0"/>
        <w:autoSpaceDE/>
        <w:autoSpaceDN/>
        <w:bidi w:val="0"/>
        <w:spacing w:line="560" w:lineRule="exact"/>
        <w:ind w:firstLine="632" w:firstLineChars="200"/>
        <w:textAlignment w:val="auto"/>
        <w:outlineLvl w:val="1"/>
        <w:rPr>
          <w:rFonts w:eastAsia="黑体"/>
          <w:color w:val="000000"/>
        </w:rPr>
      </w:pPr>
      <w:r>
        <w:rPr>
          <w:rFonts w:hint="eastAsia" w:eastAsia="黑体"/>
          <w:color w:val="000000"/>
        </w:rPr>
        <w:t>第七条【碳交易管理】</w:t>
      </w:r>
      <w:r>
        <w:rPr>
          <w:rFonts w:hint="eastAsia" w:eastAsia="黑体"/>
          <w:color w:val="000000"/>
          <w:lang w:val="en-US" w:eastAsia="zh-CN"/>
        </w:rPr>
        <w:t xml:space="preserve">  </w:t>
      </w:r>
      <w:r>
        <w:rPr>
          <w:color w:val="000000"/>
        </w:rPr>
        <w:t>省人民政府生态环境主管部门负责湖北省碳交易相关活动的监督管理。</w:t>
      </w:r>
    </w:p>
    <w:p>
      <w:pPr>
        <w:pageBreakBefore w:val="0"/>
        <w:kinsoku/>
        <w:wordWrap/>
        <w:overflowPunct/>
        <w:topLinePunct w:val="0"/>
        <w:autoSpaceDE/>
        <w:autoSpaceDN/>
        <w:bidi w:val="0"/>
        <w:spacing w:line="560" w:lineRule="exact"/>
        <w:ind w:firstLine="632" w:firstLineChars="200"/>
        <w:textAlignment w:val="auto"/>
        <w:rPr>
          <w:color w:val="000000"/>
        </w:rPr>
      </w:pPr>
      <w:r>
        <w:rPr>
          <w:color w:val="000000"/>
        </w:rPr>
        <w:t>省人民政府有关部门在各自职责范围内，负责湖北省碳交易相关活动的监督管理。</w:t>
      </w:r>
    </w:p>
    <w:p>
      <w:pPr>
        <w:pageBreakBefore w:val="0"/>
        <w:kinsoku/>
        <w:wordWrap/>
        <w:overflowPunct/>
        <w:topLinePunct w:val="0"/>
        <w:autoSpaceDE/>
        <w:autoSpaceDN/>
        <w:bidi w:val="0"/>
        <w:spacing w:line="560" w:lineRule="exact"/>
        <w:ind w:firstLine="632" w:firstLineChars="200"/>
        <w:textAlignment w:val="auto"/>
        <w:outlineLvl w:val="1"/>
        <w:rPr>
          <w:color w:val="000000"/>
        </w:rPr>
      </w:pPr>
      <w:bookmarkStart w:id="1" w:name="OLE_LINK4"/>
      <w:r>
        <w:rPr>
          <w:rFonts w:hint="eastAsia" w:eastAsia="黑体"/>
          <w:color w:val="000000"/>
        </w:rPr>
        <w:t>第八条【碳排放配额管理】</w:t>
      </w:r>
      <w:r>
        <w:rPr>
          <w:rFonts w:hint="eastAsia" w:eastAsia="黑体"/>
          <w:color w:val="000000"/>
          <w:lang w:val="en-US" w:eastAsia="zh-CN"/>
        </w:rPr>
        <w:t xml:space="preserve">  </w:t>
      </w:r>
      <w:r>
        <w:rPr>
          <w:rFonts w:hint="eastAsia"/>
          <w:color w:val="000000"/>
        </w:rPr>
        <w:t>省人民政府生态环境主管部门按照本省碳排放“双控”目标要求，根据本省经济增长、产业结构优化等因素制定年度碳排放配额总量和分配方案，报省人民政府审定后实施。</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省人民政府生态环境主管部门设定碳排放配额总量，</w:t>
      </w:r>
      <w:r>
        <w:rPr>
          <w:color w:val="000000"/>
        </w:rPr>
        <w:t>应当</w:t>
      </w:r>
      <w:r>
        <w:rPr>
          <w:rFonts w:hint="eastAsia"/>
          <w:color w:val="000000"/>
        </w:rPr>
        <w:t>逐步由强度</w:t>
      </w:r>
      <w:r>
        <w:rPr>
          <w:color w:val="000000"/>
        </w:rPr>
        <w:t>控制转向总量控制</w:t>
      </w:r>
      <w:r>
        <w:rPr>
          <w:rFonts w:hint="eastAsia"/>
          <w:color w:val="000000"/>
        </w:rPr>
        <w:t>，根据年度碳排放配额总量和分配方案，发放本省碳排放配额。</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碳排放配额实行免费和</w:t>
      </w:r>
      <w:r>
        <w:rPr>
          <w:color w:val="000000"/>
        </w:rPr>
        <w:t>有偿相结合的</w:t>
      </w:r>
      <w:r>
        <w:rPr>
          <w:rFonts w:hint="eastAsia"/>
          <w:color w:val="000000"/>
        </w:rPr>
        <w:t>分配方式。有偿分配收入应当</w:t>
      </w:r>
      <w:r>
        <w:rPr>
          <w:color w:val="000000"/>
        </w:rPr>
        <w:t>纳入省级财政预算管理，专项</w:t>
      </w:r>
      <w:r>
        <w:rPr>
          <w:rFonts w:hint="eastAsia"/>
          <w:color w:val="000000"/>
        </w:rPr>
        <w:t>用于支持碳市场建设、</w:t>
      </w:r>
      <w:r>
        <w:rPr>
          <w:color w:val="000000"/>
        </w:rPr>
        <w:t>低碳</w:t>
      </w:r>
      <w:r>
        <w:rPr>
          <w:rFonts w:hint="eastAsia"/>
          <w:color w:val="000000"/>
        </w:rPr>
        <w:t>技术</w:t>
      </w:r>
      <w:r>
        <w:rPr>
          <w:color w:val="000000"/>
        </w:rPr>
        <w:t>发展</w:t>
      </w:r>
      <w:r>
        <w:rPr>
          <w:rFonts w:hint="eastAsia"/>
          <w:color w:val="000000"/>
        </w:rPr>
        <w:t>等应对</w:t>
      </w:r>
      <w:r>
        <w:rPr>
          <w:color w:val="000000"/>
        </w:rPr>
        <w:t>气候变化工作</w:t>
      </w:r>
      <w:r>
        <w:rPr>
          <w:rFonts w:hint="eastAsia"/>
          <w:color w:val="000000"/>
        </w:rPr>
        <w:t>，</w:t>
      </w:r>
      <w:r>
        <w:rPr>
          <w:color w:val="000000"/>
        </w:rPr>
        <w:t>不得挪作他用</w:t>
      </w:r>
      <w:r>
        <w:rPr>
          <w:rFonts w:hint="eastAsia"/>
          <w:color w:val="000000"/>
        </w:rPr>
        <w:t>。</w:t>
      </w:r>
    </w:p>
    <w:bookmarkEnd w:id="1"/>
    <w:p>
      <w:pPr>
        <w:pageBreakBefore w:val="0"/>
        <w:kinsoku/>
        <w:wordWrap/>
        <w:overflowPunct/>
        <w:topLinePunct w:val="0"/>
        <w:autoSpaceDE/>
        <w:autoSpaceDN/>
        <w:bidi w:val="0"/>
        <w:adjustRightInd w:val="0"/>
        <w:snapToGrid w:val="0"/>
        <w:spacing w:line="560" w:lineRule="exact"/>
        <w:ind w:firstLine="632" w:firstLineChars="200"/>
        <w:textAlignment w:val="auto"/>
        <w:outlineLvl w:val="1"/>
        <w:rPr>
          <w:color w:val="000000"/>
        </w:rPr>
      </w:pPr>
      <w:r>
        <w:rPr>
          <w:rFonts w:hint="eastAsia" w:eastAsia="黑体"/>
          <w:color w:val="000000"/>
        </w:rPr>
        <w:t>第九条【重点排放单位名录】</w:t>
      </w:r>
      <w:r>
        <w:rPr>
          <w:rFonts w:hint="eastAsia" w:eastAsia="黑体"/>
          <w:color w:val="000000"/>
          <w:lang w:val="en-US" w:eastAsia="zh-CN"/>
        </w:rPr>
        <w:t xml:space="preserve">  </w:t>
      </w:r>
      <w:r>
        <w:rPr>
          <w:rFonts w:hint="eastAsia"/>
          <w:color w:val="000000"/>
        </w:rPr>
        <w:t>省人民政府生态环境主管部门负责制定年度碳排放配额管理重点排放单位（以下</w:t>
      </w:r>
      <w:r>
        <w:rPr>
          <w:color w:val="000000"/>
        </w:rPr>
        <w:t>简称</w:t>
      </w:r>
      <w:r>
        <w:rPr>
          <w:rFonts w:hint="eastAsia"/>
          <w:color w:val="000000"/>
        </w:rPr>
        <w:t>重点排放单位）名录，并向社会公布。</w:t>
      </w:r>
    </w:p>
    <w:p>
      <w:pPr>
        <w:pageBreakBefore w:val="0"/>
        <w:kinsoku/>
        <w:wordWrap/>
        <w:overflowPunct/>
        <w:topLinePunct w:val="0"/>
        <w:autoSpaceDE/>
        <w:autoSpaceDN/>
        <w:bidi w:val="0"/>
        <w:adjustRightInd w:val="0"/>
        <w:snapToGrid w:val="0"/>
        <w:spacing w:line="560" w:lineRule="exact"/>
        <w:ind w:firstLine="632" w:firstLineChars="200"/>
        <w:textAlignment w:val="auto"/>
        <w:rPr>
          <w:color w:val="000000"/>
        </w:rPr>
      </w:pPr>
      <w:r>
        <w:rPr>
          <w:rFonts w:hint="eastAsia"/>
          <w:color w:val="000000"/>
        </w:rPr>
        <w:t>纳入全国碳市场的重点排放单位，其碳交易管理按照国家有关规定执行。</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第十条【碳</w:t>
      </w:r>
      <w:r>
        <w:rPr>
          <w:rFonts w:eastAsia="黑体"/>
          <w:color w:val="000000"/>
        </w:rPr>
        <w:t>交易</w:t>
      </w:r>
      <w:r>
        <w:rPr>
          <w:rFonts w:hint="eastAsia" w:eastAsia="黑体"/>
          <w:color w:val="000000"/>
        </w:rPr>
        <w:t>覆盖范围】</w:t>
      </w:r>
      <w:r>
        <w:rPr>
          <w:rFonts w:hint="eastAsia" w:eastAsia="黑体"/>
          <w:color w:val="000000"/>
          <w:lang w:val="en-US" w:eastAsia="zh-CN"/>
        </w:rPr>
        <w:t xml:space="preserve">  </w:t>
      </w:r>
      <w:r>
        <w:rPr>
          <w:rFonts w:hint="eastAsia"/>
          <w:color w:val="000000"/>
        </w:rPr>
        <w:t>本</w:t>
      </w:r>
      <w:r>
        <w:rPr>
          <w:color w:val="000000"/>
        </w:rPr>
        <w:t>省碳交易覆盖的温室气体种类、行业范围和重点排放单位</w:t>
      </w:r>
      <w:r>
        <w:rPr>
          <w:rFonts w:hint="eastAsia"/>
          <w:color w:val="000000"/>
        </w:rPr>
        <w:t>的</w:t>
      </w:r>
      <w:r>
        <w:rPr>
          <w:color w:val="000000"/>
        </w:rPr>
        <w:t>确定</w:t>
      </w:r>
      <w:r>
        <w:rPr>
          <w:rFonts w:hint="eastAsia"/>
          <w:color w:val="000000"/>
        </w:rPr>
        <w:t>条件</w:t>
      </w:r>
      <w:r>
        <w:rPr>
          <w:color w:val="000000"/>
        </w:rPr>
        <w:t>，由省人民政府生态环境主管部门会同省</w:t>
      </w:r>
      <w:r>
        <w:rPr>
          <w:rFonts w:hint="eastAsia"/>
          <w:color w:val="000000"/>
        </w:rPr>
        <w:t>人民</w:t>
      </w:r>
      <w:r>
        <w:rPr>
          <w:color w:val="000000"/>
        </w:rPr>
        <w:t>政府</w:t>
      </w:r>
      <w:r>
        <w:rPr>
          <w:rFonts w:hint="eastAsia"/>
          <w:color w:val="000000"/>
        </w:rPr>
        <w:t>发展</w:t>
      </w:r>
      <w:r>
        <w:rPr>
          <w:color w:val="000000"/>
        </w:rPr>
        <w:t>改革等有关部门，根据</w:t>
      </w:r>
      <w:r>
        <w:rPr>
          <w:rFonts w:hint="eastAsia"/>
          <w:color w:val="000000"/>
        </w:rPr>
        <w:t>本</w:t>
      </w:r>
      <w:r>
        <w:rPr>
          <w:color w:val="000000"/>
        </w:rPr>
        <w:t>省温室气体排放控制目标研究提出，报省人民政府批准后实施。</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第十一条【交易主体、品种、平台与</w:t>
      </w:r>
      <w:r>
        <w:rPr>
          <w:rFonts w:eastAsia="黑体"/>
          <w:color w:val="000000"/>
        </w:rPr>
        <w:t>价格</w:t>
      </w:r>
      <w:r>
        <w:rPr>
          <w:rFonts w:hint="eastAsia" w:eastAsia="黑体"/>
          <w:color w:val="000000"/>
        </w:rPr>
        <w:t>】</w:t>
      </w:r>
      <w:r>
        <w:rPr>
          <w:rFonts w:hint="eastAsia" w:eastAsia="黑体"/>
          <w:color w:val="000000"/>
          <w:lang w:val="en-US" w:eastAsia="zh-CN"/>
        </w:rPr>
        <w:t xml:space="preserve">  </w:t>
      </w:r>
      <w:r>
        <w:rPr>
          <w:rFonts w:hint="eastAsia"/>
          <w:color w:val="000000"/>
        </w:rPr>
        <w:t>本省碳交易主体包括纳入本省碳排放配额管理的重点排放单位，以及其他符合规定的单位和个人。</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碳交易产品包括碳排放配额、本省核证自愿减排量以及经省人民政府批准的其他产品。碳交易活动应当在省人民政府规定的碳交易平台进行。</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本省建立以碳交易市场为核心的碳定价机制，发挥</w:t>
      </w:r>
      <w:r>
        <w:rPr>
          <w:color w:val="000000"/>
        </w:rPr>
        <w:t>价格发现功能，</w:t>
      </w:r>
      <w:r>
        <w:rPr>
          <w:rFonts w:hint="eastAsia"/>
          <w:color w:val="000000"/>
        </w:rPr>
        <w:t>引导市场主体绿色低碳转型。</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第十二条【重点排放单位碳排放监测】</w:t>
      </w:r>
      <w:r>
        <w:rPr>
          <w:rFonts w:hint="eastAsia" w:eastAsia="黑体"/>
          <w:color w:val="000000"/>
          <w:lang w:val="en-US" w:eastAsia="zh-CN"/>
        </w:rPr>
        <w:t xml:space="preserve">  </w:t>
      </w:r>
      <w:r>
        <w:rPr>
          <w:rFonts w:hint="eastAsia"/>
          <w:color w:val="000000"/>
        </w:rPr>
        <w:t>重点排放单位应当采取有效措施控制温室气体排放，制定年度温室气体排放数据质量控制方案，经所在地设区的市（州）人民政府生态环境主管部门审查后报送省人民政府生态环境主管部门。</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重点排放单位应当严格依据温室气体排放数据质量控制方案实施监测。重点排放单位温室气体排放数据质量控制方案发生变更的，应当及时向所在地设区的市（州）人民政府生态环境主管部门报告，</w:t>
      </w:r>
      <w:r>
        <w:rPr>
          <w:color w:val="000000"/>
        </w:rPr>
        <w:t>接受其审查后实施</w:t>
      </w:r>
      <w:r>
        <w:rPr>
          <w:rFonts w:hint="eastAsia"/>
          <w:color w:val="000000"/>
        </w:rPr>
        <w:t>。</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第十三条【重点排放单位报告】</w:t>
      </w:r>
      <w:r>
        <w:rPr>
          <w:rFonts w:hint="eastAsia" w:eastAsia="黑体"/>
          <w:color w:val="000000"/>
          <w:lang w:val="en-US" w:eastAsia="zh-CN"/>
        </w:rPr>
        <w:t xml:space="preserve">  </w:t>
      </w:r>
      <w:r>
        <w:rPr>
          <w:color w:val="000000"/>
        </w:rPr>
        <w:t>重点排放单位应当编制</w:t>
      </w:r>
      <w:r>
        <w:rPr>
          <w:rFonts w:hint="eastAsia"/>
          <w:color w:val="000000"/>
        </w:rPr>
        <w:t>上一</w:t>
      </w:r>
      <w:r>
        <w:rPr>
          <w:color w:val="000000"/>
        </w:rPr>
        <w:t>年度温室气体排放报告</w:t>
      </w:r>
      <w:r>
        <w:rPr>
          <w:rFonts w:hint="eastAsia"/>
          <w:color w:val="000000"/>
        </w:rPr>
        <w:t>（以下简称年度排放报告）</w:t>
      </w:r>
      <w:r>
        <w:rPr>
          <w:color w:val="000000"/>
        </w:rPr>
        <w:t>，并按照规定向所在地设区的市（州）人民政府生态环境主管部门提交</w:t>
      </w:r>
      <w:r>
        <w:rPr>
          <w:rFonts w:hint="eastAsia"/>
          <w:color w:val="000000"/>
        </w:rPr>
        <w:t>，报送省</w:t>
      </w:r>
      <w:r>
        <w:rPr>
          <w:color w:val="000000"/>
        </w:rPr>
        <w:t>人民政府生态环境主管部门。</w:t>
      </w:r>
    </w:p>
    <w:p>
      <w:pPr>
        <w:pageBreakBefore w:val="0"/>
        <w:kinsoku/>
        <w:wordWrap/>
        <w:overflowPunct/>
        <w:topLinePunct w:val="0"/>
        <w:autoSpaceDE/>
        <w:autoSpaceDN/>
        <w:bidi w:val="0"/>
        <w:adjustRightInd w:val="0"/>
        <w:snapToGrid w:val="0"/>
        <w:spacing w:line="560" w:lineRule="exact"/>
        <w:ind w:firstLine="632" w:firstLineChars="200"/>
        <w:textAlignment w:val="auto"/>
        <w:rPr>
          <w:color w:val="000000"/>
        </w:rPr>
      </w:pPr>
      <w:r>
        <w:rPr>
          <w:color w:val="000000"/>
        </w:rPr>
        <w:t>重点排放单位应当对其排放统计核算数据、年度排放报告的真实性、完整性、准确性负责。温室气体排放报告所涉数据的原始记录和管理台账应当至少保存五年。</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第十四条【碳排放报告核查】</w:t>
      </w:r>
      <w:r>
        <w:rPr>
          <w:rFonts w:hint="eastAsia" w:eastAsia="黑体"/>
          <w:color w:val="000000"/>
          <w:lang w:val="en-US" w:eastAsia="zh-CN"/>
        </w:rPr>
        <w:t xml:space="preserve">  </w:t>
      </w:r>
      <w:r>
        <w:rPr>
          <w:rFonts w:hint="eastAsia"/>
          <w:color w:val="000000"/>
        </w:rPr>
        <w:t>省人民政府生态环境主管部门应当组织对重点排放单位年度排放报告进行核查，可以通过政府购买服务等方式，委托依法设立的技术服务机构进行核查。</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重点排放单位应当配合技术服务机构开展核查，如实提供有关数据和资料。</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技术服务机构应当独立、客观、公正地进行核查，按照要求向省人民政府生态环境主管部门提交核查报告，并对核查结果的真实性、完整性、准确性负责。</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第十五条【配额清缴】</w:t>
      </w:r>
      <w:r>
        <w:rPr>
          <w:rFonts w:hint="eastAsia" w:eastAsia="黑体"/>
          <w:color w:val="000000"/>
          <w:lang w:val="en-US" w:eastAsia="zh-CN"/>
        </w:rPr>
        <w:t xml:space="preserve">  </w:t>
      </w:r>
      <w:r>
        <w:rPr>
          <w:rFonts w:hint="eastAsia"/>
          <w:color w:val="000000"/>
        </w:rPr>
        <w:t>重点排放单位应当在规定的时限向省人民政府生态环境主管部门缴还与上一年度实际排放量相等数量的碳排放配额。</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符合条件的核证自愿减排量</w:t>
      </w:r>
      <w:r>
        <w:rPr>
          <w:color w:val="000000"/>
        </w:rPr>
        <w:t>可用于抵销重点排放单位碳排放量，具体</w:t>
      </w:r>
      <w:r>
        <w:rPr>
          <w:rFonts w:hint="eastAsia"/>
          <w:color w:val="000000"/>
        </w:rPr>
        <w:t>办法</w:t>
      </w:r>
      <w:r>
        <w:rPr>
          <w:color w:val="000000"/>
        </w:rPr>
        <w:t>由省人民政府生态环境主管部门制定</w:t>
      </w:r>
      <w:r>
        <w:rPr>
          <w:rFonts w:hint="eastAsia"/>
          <w:color w:val="000000"/>
        </w:rPr>
        <w:t>。</w:t>
      </w:r>
    </w:p>
    <w:p>
      <w:pPr>
        <w:keepNext/>
        <w:keepLines/>
        <w:pageBreakBefore w:val="0"/>
        <w:kinsoku/>
        <w:wordWrap/>
        <w:overflowPunct/>
        <w:topLinePunct w:val="0"/>
        <w:autoSpaceDE/>
        <w:autoSpaceDN/>
        <w:bidi w:val="0"/>
        <w:spacing w:line="560" w:lineRule="exact"/>
        <w:ind w:firstLine="632" w:firstLineChars="200"/>
        <w:jc w:val="center"/>
        <w:textAlignment w:val="auto"/>
        <w:outlineLvl w:val="0"/>
        <w:rPr>
          <w:rFonts w:hint="eastAsia" w:eastAsia="黑体"/>
          <w:color w:val="000000"/>
          <w:kern w:val="44"/>
        </w:rPr>
      </w:pPr>
    </w:p>
    <w:p>
      <w:pPr>
        <w:keepNext/>
        <w:keepLines/>
        <w:pageBreakBefore w:val="0"/>
        <w:kinsoku/>
        <w:wordWrap/>
        <w:overflowPunct/>
        <w:topLinePunct w:val="0"/>
        <w:autoSpaceDE/>
        <w:autoSpaceDN/>
        <w:bidi w:val="0"/>
        <w:spacing w:line="560" w:lineRule="exact"/>
        <w:jc w:val="center"/>
        <w:textAlignment w:val="auto"/>
        <w:outlineLvl w:val="0"/>
        <w:rPr>
          <w:rFonts w:eastAsia="黑体"/>
          <w:color w:val="000000"/>
          <w:kern w:val="44"/>
        </w:rPr>
      </w:pPr>
      <w:r>
        <w:rPr>
          <w:rFonts w:hint="eastAsia" w:eastAsia="黑体"/>
          <w:color w:val="000000"/>
          <w:kern w:val="44"/>
        </w:rPr>
        <w:t xml:space="preserve">第三章 </w:t>
      </w:r>
      <w:r>
        <w:rPr>
          <w:rFonts w:hint="eastAsia" w:eastAsia="黑体"/>
          <w:color w:val="000000"/>
          <w:kern w:val="44"/>
          <w:lang w:val="en-US" w:eastAsia="zh-CN"/>
        </w:rPr>
        <w:t xml:space="preserve"> </w:t>
      </w:r>
      <w:r>
        <w:rPr>
          <w:rFonts w:hint="eastAsia" w:eastAsia="黑体"/>
          <w:color w:val="000000"/>
          <w:kern w:val="44"/>
        </w:rPr>
        <w:t>多元化服务</w:t>
      </w:r>
    </w:p>
    <w:p>
      <w:pPr>
        <w:pageBreakBefore w:val="0"/>
        <w:kinsoku/>
        <w:wordWrap/>
        <w:overflowPunct/>
        <w:topLinePunct w:val="0"/>
        <w:autoSpaceDE/>
        <w:autoSpaceDN/>
        <w:bidi w:val="0"/>
        <w:spacing w:line="560" w:lineRule="exact"/>
        <w:ind w:firstLine="632" w:firstLineChars="200"/>
        <w:textAlignment w:val="auto"/>
        <w:outlineLvl w:val="1"/>
        <w:rPr>
          <w:rFonts w:hint="eastAsia" w:eastAsia="黑体"/>
          <w:color w:val="000000"/>
        </w:rPr>
      </w:pP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第十六条【服务全国碳市场】</w:t>
      </w:r>
      <w:r>
        <w:rPr>
          <w:rFonts w:hint="eastAsia" w:eastAsia="黑体"/>
          <w:color w:val="000000"/>
          <w:lang w:val="en-US" w:eastAsia="zh-CN"/>
        </w:rPr>
        <w:t xml:space="preserve">  </w:t>
      </w:r>
      <w:r>
        <w:rPr>
          <w:rFonts w:hint="eastAsia"/>
          <w:color w:val="000000"/>
        </w:rPr>
        <w:t>省人民政府支持建设</w:t>
      </w:r>
      <w:r>
        <w:rPr>
          <w:color w:val="000000"/>
        </w:rPr>
        <w:t>碳市场重要基础设施，</w:t>
      </w:r>
      <w:r>
        <w:rPr>
          <w:rFonts w:hint="eastAsia"/>
          <w:color w:val="000000"/>
        </w:rPr>
        <w:t>拓展全国</w:t>
      </w:r>
      <w:r>
        <w:rPr>
          <w:color w:val="000000"/>
        </w:rPr>
        <w:t>碳排放权</w:t>
      </w:r>
      <w:r>
        <w:rPr>
          <w:rFonts w:hint="eastAsia"/>
          <w:color w:val="000000"/>
        </w:rPr>
        <w:t>注册登记结算系统功能，健全碳市场资金清算机制，支撑全国碳市场扩围增量，服务全国碳市场高效稳定安全运行。</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第十七条【发挥碳市场辐射作用】</w:t>
      </w:r>
      <w:r>
        <w:rPr>
          <w:rFonts w:hint="eastAsia" w:eastAsia="黑体"/>
          <w:color w:val="000000"/>
          <w:lang w:val="en-US" w:eastAsia="zh-CN"/>
        </w:rPr>
        <w:t xml:space="preserve">  </w:t>
      </w:r>
      <w:r>
        <w:rPr>
          <w:color w:val="000000"/>
        </w:rPr>
        <w:t>省人民政府应当发挥全国碳市场和湖北碳市场基础设施平台的集聚优势，</w:t>
      </w:r>
      <w:r>
        <w:rPr>
          <w:rFonts w:hint="eastAsia"/>
          <w:color w:val="000000"/>
        </w:rPr>
        <w:t>建设</w:t>
      </w:r>
      <w:r>
        <w:rPr>
          <w:color w:val="000000"/>
        </w:rPr>
        <w:t>具有</w:t>
      </w:r>
      <w:r>
        <w:rPr>
          <w:rFonts w:hint="eastAsia"/>
          <w:color w:val="000000"/>
        </w:rPr>
        <w:t>全国</w:t>
      </w:r>
      <w:r>
        <w:rPr>
          <w:color w:val="000000"/>
        </w:rPr>
        <w:t>影响力的</w:t>
      </w:r>
      <w:r>
        <w:rPr>
          <w:rFonts w:hint="eastAsia"/>
          <w:color w:val="000000"/>
        </w:rPr>
        <w:t>碳市场中心和碳金融中心，推进生态产业化和产业生态化。</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省人民政府相关主管部门应当增强碳市场辐射带动功能，构建“碳交易服务、碳金融创新、碳普惠应用、碳科技转化、碳产业培育”一体化服务体系。</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第十八条【碳金融创新】</w:t>
      </w:r>
      <w:r>
        <w:rPr>
          <w:rFonts w:hint="eastAsia" w:eastAsia="黑体"/>
          <w:color w:val="000000"/>
          <w:lang w:val="en-US" w:eastAsia="zh-CN"/>
        </w:rPr>
        <w:t xml:space="preserve">  </w:t>
      </w:r>
      <w:r>
        <w:rPr>
          <w:rFonts w:hint="eastAsia"/>
          <w:color w:val="000000"/>
        </w:rPr>
        <w:t>省人民政府应当规范有序推进金融机构开发与碳排放权和核证自愿减排量相关的碳金融产品和服务，拓展企业碳资产管理渠道，积极推动气候投融资创新发展。</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有序发展碳排放权质押贷款、碳回购、碳债券、碳基金、碳保险、碳资产证券化等碳金融产品，</w:t>
      </w:r>
      <w:r>
        <w:rPr>
          <w:color w:val="000000"/>
        </w:rPr>
        <w:t>并确保相关碳金融产品全程可监管、可追踪。</w:t>
      </w:r>
    </w:p>
    <w:p>
      <w:pPr>
        <w:pageBreakBefore w:val="0"/>
        <w:kinsoku/>
        <w:wordWrap/>
        <w:overflowPunct/>
        <w:topLinePunct w:val="0"/>
        <w:autoSpaceDE/>
        <w:autoSpaceDN/>
        <w:bidi w:val="0"/>
        <w:spacing w:line="560" w:lineRule="exact"/>
        <w:ind w:firstLine="632" w:firstLineChars="200"/>
        <w:textAlignment w:val="auto"/>
        <w:rPr>
          <w:color w:val="000000"/>
        </w:rPr>
      </w:pPr>
      <w:r>
        <w:rPr>
          <w:color w:val="000000"/>
        </w:rPr>
        <w:t>支持项目业主开发温室气体自愿减排项目，强化相关政府财税政策、金融机构投融资政策支持，促进</w:t>
      </w:r>
      <w:r>
        <w:rPr>
          <w:rFonts w:hint="eastAsia"/>
          <w:color w:val="000000"/>
        </w:rPr>
        <w:t>相关</w:t>
      </w:r>
      <w:r>
        <w:rPr>
          <w:color w:val="000000"/>
        </w:rPr>
        <w:t>资源</w:t>
      </w:r>
      <w:r>
        <w:rPr>
          <w:rFonts w:hint="eastAsia"/>
          <w:color w:val="000000"/>
        </w:rPr>
        <w:t>的资产</w:t>
      </w:r>
      <w:r>
        <w:rPr>
          <w:color w:val="000000"/>
        </w:rPr>
        <w:t>化和价值实现。</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第十九条【环境权益融资创新】</w:t>
      </w:r>
      <w:r>
        <w:rPr>
          <w:rFonts w:hint="eastAsia" w:eastAsia="黑体"/>
          <w:color w:val="000000"/>
          <w:lang w:val="en-US" w:eastAsia="zh-CN"/>
        </w:rPr>
        <w:t xml:space="preserve">  </w:t>
      </w:r>
      <w:r>
        <w:rPr>
          <w:rFonts w:hint="eastAsia"/>
          <w:color w:val="000000"/>
        </w:rPr>
        <w:t>人行湖北省分行和省人民政府地方金融管理部门等应当支持发展基于碳排放权、排污权、水权、用能</w:t>
      </w:r>
      <w:r>
        <w:rPr>
          <w:color w:val="000000"/>
        </w:rPr>
        <w:t>权、</w:t>
      </w:r>
      <w:r>
        <w:rPr>
          <w:rFonts w:hint="eastAsia"/>
          <w:color w:val="000000"/>
        </w:rPr>
        <w:t>固废（危废）、生态产品等各类环境权益的融资工具，拓宽企业绿色融资渠道。</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第二十条【培育服务机构】</w:t>
      </w:r>
      <w:r>
        <w:rPr>
          <w:rFonts w:hint="eastAsia" w:eastAsia="黑体"/>
          <w:color w:val="000000"/>
          <w:lang w:val="en-US" w:eastAsia="zh-CN"/>
        </w:rPr>
        <w:t xml:space="preserve">  </w:t>
      </w:r>
      <w:r>
        <w:rPr>
          <w:rFonts w:hint="eastAsia"/>
          <w:color w:val="000000"/>
        </w:rPr>
        <w:t>本省加强碳市场建设相关技术服务机构培育，引导其提升技术能力和服务水平，为碳排放管理相关活动提供技术核查、审核、检测、评价、咨询等服务。</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本省相关行业协会应当加强行业自律，组织、引导会员单位参与温室气体减排相关活动，推进绿色低碳技术的推广和应用。</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第二十一条【碳普惠场景落地推广】</w:t>
      </w:r>
      <w:r>
        <w:rPr>
          <w:rFonts w:hint="eastAsia" w:eastAsia="黑体"/>
          <w:color w:val="000000"/>
          <w:lang w:val="en-US" w:eastAsia="zh-CN"/>
        </w:rPr>
        <w:t xml:space="preserve">  </w:t>
      </w:r>
      <w:r>
        <w:rPr>
          <w:color w:val="000000"/>
        </w:rPr>
        <w:t>省人民政府生态环境主管部门应当会同住房城乡建设、交通运输、农业农村、商务、文化旅游、</w:t>
      </w:r>
      <w:r>
        <w:rPr>
          <w:rFonts w:hint="eastAsia"/>
          <w:color w:val="000000"/>
        </w:rPr>
        <w:t>自然</w:t>
      </w:r>
      <w:r>
        <w:rPr>
          <w:color w:val="000000"/>
        </w:rPr>
        <w:t>资源、林业等部门探索</w:t>
      </w:r>
      <w:r>
        <w:rPr>
          <w:rFonts w:hint="eastAsia"/>
          <w:color w:val="000000"/>
        </w:rPr>
        <w:t>聚焦于个人、家庭、社区在衣、食、住、用、行等方面的绿色低碳行为，建立碳普惠制度，提高公众碳减排意识，推动生活方式和消费模式绿色低碳转型。</w:t>
      </w:r>
    </w:p>
    <w:p>
      <w:pPr>
        <w:pageBreakBefore w:val="0"/>
        <w:kinsoku/>
        <w:wordWrap/>
        <w:overflowPunct/>
        <w:topLinePunct w:val="0"/>
        <w:autoSpaceDE/>
        <w:autoSpaceDN/>
        <w:bidi w:val="0"/>
        <w:spacing w:line="560" w:lineRule="exact"/>
        <w:ind w:firstLine="632" w:firstLineChars="200"/>
        <w:textAlignment w:val="auto"/>
        <w:rPr>
          <w:color w:val="000000"/>
        </w:rPr>
      </w:pPr>
      <w:r>
        <w:rPr>
          <w:color w:val="000000"/>
        </w:rPr>
        <w:t>省人民政府机关事务管理局负责推动全省公共机构节能托管，率先推广和应用碳普惠机制。</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第二十二条【碳足迹管理】</w:t>
      </w:r>
      <w:r>
        <w:rPr>
          <w:rFonts w:hint="eastAsia" w:eastAsia="黑体"/>
          <w:color w:val="000000"/>
          <w:lang w:val="en-US" w:eastAsia="zh-CN"/>
        </w:rPr>
        <w:t xml:space="preserve">  </w:t>
      </w:r>
      <w:r>
        <w:rPr>
          <w:color w:val="000000"/>
        </w:rPr>
        <w:t>省人民政府生态环境主管部门应当会同相关部门建立健全全省碳足迹管理体系，</w:t>
      </w:r>
      <w:r>
        <w:rPr>
          <w:rFonts w:hint="eastAsia"/>
          <w:color w:val="000000"/>
        </w:rPr>
        <w:t>探索建立与国家数据库相衔接的地方特色产品碳足迹因子数据库。本省按照国家总体部署，推进碳足迹规则、标准等国际衔接互认。</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第二十三条【碳标识认证管理】</w:t>
      </w:r>
      <w:r>
        <w:rPr>
          <w:rFonts w:hint="eastAsia" w:eastAsia="黑体"/>
          <w:color w:val="000000"/>
          <w:lang w:val="en-US" w:eastAsia="zh-CN"/>
        </w:rPr>
        <w:t xml:space="preserve">  </w:t>
      </w:r>
      <w:r>
        <w:rPr>
          <w:color w:val="000000"/>
        </w:rPr>
        <w:t>省</w:t>
      </w:r>
      <w:r>
        <w:rPr>
          <w:rFonts w:hint="eastAsia"/>
          <w:color w:val="000000"/>
        </w:rPr>
        <w:t>、设区</w:t>
      </w:r>
      <w:r>
        <w:rPr>
          <w:color w:val="000000"/>
        </w:rPr>
        <w:t>的市（</w:t>
      </w:r>
      <w:r>
        <w:rPr>
          <w:rFonts w:hint="eastAsia"/>
          <w:color w:val="000000"/>
        </w:rPr>
        <w:t>州</w:t>
      </w:r>
      <w:r>
        <w:rPr>
          <w:color w:val="000000"/>
        </w:rPr>
        <w:t>）人民政府市场监督管理主管部门应当会同有关部门，</w:t>
      </w:r>
      <w:r>
        <w:rPr>
          <w:rFonts w:hint="eastAsia"/>
          <w:color w:val="000000"/>
        </w:rPr>
        <w:t>积极推广节能产品认证、节水产品认证、环保产品认证、绿色产品认证及碳排放管理体系认证等涉碳认证，</w:t>
      </w:r>
      <w:r>
        <w:rPr>
          <w:color w:val="000000"/>
        </w:rPr>
        <w:t>监督产品涉碳类认证评价活动</w:t>
      </w:r>
      <w:r>
        <w:rPr>
          <w:rFonts w:hint="eastAsia"/>
          <w:color w:val="000000"/>
        </w:rPr>
        <w:t>，推动相关认证结果在国际贸易、行业管理、市场采购、社会治理等领域的广泛采信。</w:t>
      </w:r>
      <w:r>
        <w:rPr>
          <w:color w:val="000000"/>
        </w:rPr>
        <w:t xml:space="preserve"> </w:t>
      </w:r>
    </w:p>
    <w:p>
      <w:pPr>
        <w:keepNext/>
        <w:keepLines/>
        <w:pageBreakBefore w:val="0"/>
        <w:kinsoku/>
        <w:wordWrap/>
        <w:overflowPunct/>
        <w:topLinePunct w:val="0"/>
        <w:autoSpaceDE/>
        <w:autoSpaceDN/>
        <w:bidi w:val="0"/>
        <w:spacing w:line="560" w:lineRule="exact"/>
        <w:ind w:firstLine="632" w:firstLineChars="200"/>
        <w:jc w:val="center"/>
        <w:textAlignment w:val="auto"/>
        <w:outlineLvl w:val="0"/>
        <w:rPr>
          <w:rFonts w:hint="eastAsia" w:eastAsia="黑体"/>
          <w:color w:val="000000"/>
          <w:kern w:val="44"/>
        </w:rPr>
      </w:pPr>
    </w:p>
    <w:p>
      <w:pPr>
        <w:keepNext/>
        <w:keepLines/>
        <w:pageBreakBefore w:val="0"/>
        <w:kinsoku/>
        <w:wordWrap/>
        <w:overflowPunct/>
        <w:topLinePunct w:val="0"/>
        <w:autoSpaceDE/>
        <w:autoSpaceDN/>
        <w:bidi w:val="0"/>
        <w:spacing w:line="560" w:lineRule="exact"/>
        <w:jc w:val="center"/>
        <w:textAlignment w:val="auto"/>
        <w:outlineLvl w:val="0"/>
        <w:rPr>
          <w:rFonts w:eastAsia="黑体"/>
          <w:color w:val="000000"/>
          <w:kern w:val="44"/>
        </w:rPr>
      </w:pPr>
      <w:r>
        <w:rPr>
          <w:rFonts w:hint="eastAsia" w:eastAsia="黑体"/>
          <w:color w:val="000000"/>
          <w:kern w:val="44"/>
        </w:rPr>
        <w:t>第四章</w:t>
      </w:r>
      <w:r>
        <w:rPr>
          <w:rFonts w:hint="eastAsia" w:eastAsia="黑体"/>
          <w:color w:val="000000"/>
          <w:kern w:val="44"/>
          <w:lang w:val="en-US" w:eastAsia="zh-CN"/>
        </w:rPr>
        <w:t xml:space="preserve"> </w:t>
      </w:r>
      <w:r>
        <w:rPr>
          <w:rFonts w:eastAsia="黑体"/>
          <w:color w:val="000000"/>
          <w:kern w:val="44"/>
        </w:rPr>
        <w:t xml:space="preserve"> </w:t>
      </w:r>
      <w:r>
        <w:rPr>
          <w:rFonts w:hint="eastAsia" w:eastAsia="黑体"/>
          <w:color w:val="000000"/>
          <w:kern w:val="44"/>
        </w:rPr>
        <w:t>绿色低碳</w:t>
      </w:r>
      <w:r>
        <w:rPr>
          <w:rFonts w:eastAsia="黑体"/>
          <w:color w:val="000000"/>
          <w:kern w:val="44"/>
        </w:rPr>
        <w:t>转型</w:t>
      </w:r>
    </w:p>
    <w:p>
      <w:pPr>
        <w:pageBreakBefore w:val="0"/>
        <w:kinsoku/>
        <w:wordWrap/>
        <w:overflowPunct/>
        <w:topLinePunct w:val="0"/>
        <w:autoSpaceDE/>
        <w:autoSpaceDN/>
        <w:bidi w:val="0"/>
        <w:spacing w:line="560" w:lineRule="exact"/>
        <w:ind w:firstLine="632" w:firstLineChars="200"/>
        <w:textAlignment w:val="auto"/>
        <w:outlineLvl w:val="1"/>
        <w:rPr>
          <w:rFonts w:hint="eastAsia" w:eastAsia="黑体"/>
          <w:color w:val="000000"/>
        </w:rPr>
      </w:pP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第二十四条</w:t>
      </w:r>
      <w:bookmarkStart w:id="2" w:name="OLE_LINK11"/>
      <w:bookmarkStart w:id="3" w:name="OLE_LINK10"/>
      <w:r>
        <w:rPr>
          <w:rFonts w:hint="eastAsia" w:eastAsia="黑体"/>
          <w:color w:val="000000"/>
        </w:rPr>
        <w:t>【推动绿色</w:t>
      </w:r>
      <w:r>
        <w:rPr>
          <w:rFonts w:eastAsia="黑体"/>
          <w:color w:val="000000"/>
        </w:rPr>
        <w:t>低碳转型</w:t>
      </w:r>
      <w:r>
        <w:rPr>
          <w:rFonts w:hint="eastAsia" w:eastAsia="黑体"/>
          <w:color w:val="000000"/>
        </w:rPr>
        <w:t>】</w:t>
      </w:r>
      <w:r>
        <w:rPr>
          <w:rFonts w:hint="eastAsia" w:eastAsia="黑体"/>
          <w:color w:val="000000"/>
          <w:lang w:val="en-US" w:eastAsia="zh-CN"/>
        </w:rPr>
        <w:t xml:space="preserve">  </w:t>
      </w:r>
      <w:r>
        <w:rPr>
          <w:rFonts w:hint="eastAsia"/>
          <w:color w:val="000000"/>
        </w:rPr>
        <w:t>省</w:t>
      </w:r>
      <w:r>
        <w:rPr>
          <w:color w:val="000000"/>
        </w:rPr>
        <w:t>人民政府</w:t>
      </w:r>
      <w:bookmarkEnd w:id="2"/>
      <w:bookmarkEnd w:id="3"/>
      <w:r>
        <w:rPr>
          <w:rFonts w:hint="eastAsia"/>
          <w:color w:val="000000"/>
        </w:rPr>
        <w:t>充分</w:t>
      </w:r>
      <w:r>
        <w:rPr>
          <w:color w:val="000000"/>
        </w:rPr>
        <w:t>发挥</w:t>
      </w:r>
      <w:r>
        <w:rPr>
          <w:rFonts w:hint="eastAsia"/>
          <w:color w:val="000000"/>
        </w:rPr>
        <w:t>碳市场调节作用，推动传统产业深度转型，培育</w:t>
      </w:r>
      <w:r>
        <w:rPr>
          <w:color w:val="000000"/>
        </w:rPr>
        <w:t>发展新质</w:t>
      </w:r>
      <w:r>
        <w:rPr>
          <w:rFonts w:hint="eastAsia"/>
          <w:color w:val="000000"/>
        </w:rPr>
        <w:t>生产力</w:t>
      </w:r>
      <w:r>
        <w:rPr>
          <w:color w:val="000000"/>
        </w:rPr>
        <w:t>，</w:t>
      </w:r>
      <w:r>
        <w:rPr>
          <w:rFonts w:hint="eastAsia"/>
          <w:color w:val="000000"/>
        </w:rPr>
        <w:t>推动和引导全社会形成绿色生产生活风尚，协同推进碳市场高质量发展与社会经济全面绿色转型。</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第二十五条【能源结构调整】</w:t>
      </w:r>
      <w:r>
        <w:rPr>
          <w:rFonts w:hint="eastAsia" w:eastAsia="黑体"/>
          <w:color w:val="000000"/>
          <w:lang w:val="en-US" w:eastAsia="zh-CN"/>
        </w:rPr>
        <w:t xml:space="preserve">  </w:t>
      </w:r>
      <w:r>
        <w:rPr>
          <w:rFonts w:hint="eastAsia"/>
          <w:color w:val="000000"/>
        </w:rPr>
        <w:t>省</w:t>
      </w:r>
      <w:r>
        <w:rPr>
          <w:color w:val="000000"/>
        </w:rPr>
        <w:t>人民政府发展改革主管部门负责节能监督管理工作，有序推进能源领域碳减排。</w:t>
      </w:r>
      <w:r>
        <w:rPr>
          <w:rFonts w:hint="eastAsia"/>
          <w:color w:val="000000"/>
        </w:rPr>
        <w:t>省人民政府能源主管部门负责能源绿色低碳转型，优化调整能源结构，构建清洁低碳安全高效的能源体系，推广清洁能源的生产和使用，逐步提高非化石能源消费比重，</w:t>
      </w:r>
      <w:r>
        <w:rPr>
          <w:color w:val="000000"/>
        </w:rPr>
        <w:t>推动长江中游大型清洁能源基地建设</w:t>
      </w:r>
      <w:r>
        <w:rPr>
          <w:rFonts w:hint="eastAsia"/>
          <w:color w:val="000000"/>
        </w:rPr>
        <w:t>。</w:t>
      </w:r>
      <w:r>
        <w:rPr>
          <w:color w:val="000000"/>
        </w:rPr>
        <w:t xml:space="preserve"> </w:t>
      </w:r>
    </w:p>
    <w:p>
      <w:pPr>
        <w:pageBreakBefore w:val="0"/>
        <w:kinsoku/>
        <w:wordWrap/>
        <w:overflowPunct/>
        <w:topLinePunct w:val="0"/>
        <w:autoSpaceDE/>
        <w:autoSpaceDN/>
        <w:bidi w:val="0"/>
        <w:spacing w:line="560" w:lineRule="exact"/>
        <w:ind w:firstLine="632" w:firstLineChars="200"/>
        <w:textAlignment w:val="auto"/>
        <w:outlineLvl w:val="1"/>
        <w:rPr>
          <w:rFonts w:eastAsia="黑体"/>
          <w:color w:val="000000"/>
        </w:rPr>
      </w:pPr>
      <w:r>
        <w:rPr>
          <w:rFonts w:hint="eastAsia" w:eastAsia="黑体"/>
          <w:color w:val="000000"/>
        </w:rPr>
        <w:t>第二十六条【产业结构</w:t>
      </w:r>
      <w:r>
        <w:rPr>
          <w:rFonts w:eastAsia="黑体"/>
          <w:color w:val="000000"/>
        </w:rPr>
        <w:t>转型</w:t>
      </w:r>
      <w:r>
        <w:rPr>
          <w:rFonts w:hint="eastAsia" w:eastAsia="黑体"/>
          <w:color w:val="000000"/>
        </w:rPr>
        <w:t>】</w:t>
      </w:r>
      <w:r>
        <w:rPr>
          <w:rFonts w:hint="eastAsia" w:eastAsia="黑体"/>
          <w:color w:val="000000"/>
          <w:lang w:val="en-US" w:eastAsia="zh-CN"/>
        </w:rPr>
        <w:t xml:space="preserve">  </w:t>
      </w:r>
      <w:r>
        <w:rPr>
          <w:rFonts w:hint="eastAsia"/>
          <w:color w:val="000000"/>
        </w:rPr>
        <w:t>省人民政府根据国家碳达峰碳中和行动方案，结合本省实际情况，制定本行政区域碳达峰碳中和行动方案并组织实施。</w:t>
      </w:r>
    </w:p>
    <w:p>
      <w:pPr>
        <w:pageBreakBefore w:val="0"/>
        <w:kinsoku/>
        <w:wordWrap/>
        <w:overflowPunct/>
        <w:topLinePunct w:val="0"/>
        <w:autoSpaceDE/>
        <w:autoSpaceDN/>
        <w:bidi w:val="0"/>
        <w:spacing w:line="560" w:lineRule="exact"/>
        <w:ind w:firstLine="632" w:firstLineChars="200"/>
        <w:textAlignment w:val="auto"/>
        <w:rPr>
          <w:rFonts w:eastAsia="黑体"/>
          <w:color w:val="000000"/>
        </w:rPr>
      </w:pPr>
      <w:r>
        <w:rPr>
          <w:color w:val="000000"/>
        </w:rPr>
        <w:t>省人民政府</w:t>
      </w:r>
      <w:r>
        <w:rPr>
          <w:rFonts w:hint="eastAsia"/>
          <w:color w:val="000000"/>
        </w:rPr>
        <w:t>发展改革</w:t>
      </w:r>
      <w:r>
        <w:rPr>
          <w:color w:val="000000"/>
        </w:rPr>
        <w:t>主管</w:t>
      </w:r>
      <w:r>
        <w:rPr>
          <w:rFonts w:hint="eastAsia"/>
          <w:color w:val="000000"/>
        </w:rPr>
        <w:t>部门负责全省碳达峰</w:t>
      </w:r>
      <w:r>
        <w:rPr>
          <w:color w:val="000000"/>
        </w:rPr>
        <w:t>碳中和工作的管理协调</w:t>
      </w:r>
      <w:r>
        <w:rPr>
          <w:rFonts w:hint="eastAsia"/>
          <w:color w:val="000000"/>
        </w:rPr>
        <w:t>。</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省人民政府发展改革主管部门应当会同相关部门加快产业结构绿色低碳转型，推动资源节约集约循环利用，大力发展循环经济、节能环保产业、战略性新兴产业和现代服务业，鼓励绿色低碳导向的新产业、新业态、新商业模式加快发展，推进汽车</w:t>
      </w:r>
      <w:r>
        <w:rPr>
          <w:color w:val="000000"/>
        </w:rPr>
        <w:t>、钢铁、化工</w:t>
      </w:r>
      <w:r>
        <w:rPr>
          <w:rFonts w:hint="eastAsia"/>
          <w:color w:val="000000"/>
        </w:rPr>
        <w:t>、有色</w:t>
      </w:r>
      <w:r>
        <w:rPr>
          <w:color w:val="000000"/>
        </w:rPr>
        <w:t>、船舶制造</w:t>
      </w:r>
      <w:r>
        <w:rPr>
          <w:rFonts w:hint="eastAsia"/>
          <w:color w:val="000000"/>
        </w:rPr>
        <w:t>、建材</w:t>
      </w:r>
      <w:r>
        <w:rPr>
          <w:color w:val="000000"/>
        </w:rPr>
        <w:t>等</w:t>
      </w:r>
      <w:r>
        <w:rPr>
          <w:rFonts w:hint="eastAsia"/>
          <w:color w:val="000000"/>
        </w:rPr>
        <w:t>行业绿色低碳改造升级。</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本省鼓励和支持企业通过节能降碳、非化石能源消费、供应链合作减排等方式，减少能源资源消耗。</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w:t>
      </w:r>
      <w:r>
        <w:rPr>
          <w:rFonts w:eastAsia="黑体"/>
          <w:color w:val="000000"/>
        </w:rPr>
        <w:t>七</w:t>
      </w:r>
      <w:r>
        <w:rPr>
          <w:rFonts w:hint="eastAsia" w:eastAsia="黑体"/>
          <w:color w:val="000000"/>
        </w:rPr>
        <w:t>条【发展绿色交通】</w:t>
      </w:r>
      <w:r>
        <w:rPr>
          <w:rFonts w:hint="eastAsia" w:eastAsia="黑体"/>
          <w:color w:val="000000"/>
          <w:lang w:val="en-US" w:eastAsia="zh-CN"/>
        </w:rPr>
        <w:t xml:space="preserve">  </w:t>
      </w:r>
      <w:r>
        <w:rPr>
          <w:rFonts w:hint="eastAsia"/>
          <w:color w:val="000000"/>
        </w:rPr>
        <w:t>县级以上人民政府及其交通运输、发展改革、生态环境等部门应当推进绿色交通体系建设，推广应用绿色智能车船，加快交通基础设施绿色低碳改造，完善充换电、加氢、港口岸电等配套基础设施，推进</w:t>
      </w:r>
      <w:r>
        <w:rPr>
          <w:color w:val="000000"/>
        </w:rPr>
        <w:t>电化气化氢化长江</w:t>
      </w:r>
      <w:r>
        <w:rPr>
          <w:rFonts w:hint="eastAsia"/>
          <w:color w:val="000000"/>
        </w:rPr>
        <w:t>。</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鼓励发展绿色物流、多式联运、共同配送，推进交通出行碳排放核算和管控，提升交通运输领域低碳化、智能化、高效化水平。</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第二十八条【绿色农业】</w:t>
      </w:r>
      <w:r>
        <w:rPr>
          <w:rFonts w:hint="eastAsia" w:eastAsia="黑体"/>
          <w:color w:val="000000"/>
          <w:lang w:val="en-US" w:eastAsia="zh-CN"/>
        </w:rPr>
        <w:t xml:space="preserve">  </w:t>
      </w:r>
      <w:r>
        <w:rPr>
          <w:rFonts w:hint="eastAsia"/>
          <w:color w:val="000000"/>
        </w:rPr>
        <w:t>县级以上人民政府及其农业农村主管部门应当大力发展生态低碳农业，推进化肥农药等农业投入品控量增效、农业废弃物综合利用、绿色种养循环、高效节能农业机械推广等低碳技术应用，鼓励探索农业生态产品认证供应体系及评估实现创新机制，促进农业绿色低碳发展。</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第二十九条【绿色建筑】</w:t>
      </w:r>
      <w:r>
        <w:rPr>
          <w:rFonts w:hint="eastAsia" w:eastAsia="黑体"/>
          <w:color w:val="000000"/>
          <w:lang w:val="en-US" w:eastAsia="zh-CN"/>
        </w:rPr>
        <w:t xml:space="preserve">  </w:t>
      </w:r>
      <w:r>
        <w:rPr>
          <w:rFonts w:hint="eastAsia"/>
          <w:color w:val="000000"/>
        </w:rPr>
        <w:t>县级以上人民政府及其住房城乡建设等部门应当采取措施，推广绿色建造方式和绿色建材应用，发展超低能耗建筑和近零能耗建筑，加强绿色建筑全生命周期监督管理，加快既有建筑和市政基础设施节能节水降碳改造，推进城乡建设绿色低碳转型。</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第三十条【绿色办公】</w:t>
      </w:r>
      <w:r>
        <w:rPr>
          <w:rFonts w:hint="eastAsia" w:eastAsia="黑体"/>
          <w:color w:val="000000"/>
          <w:lang w:val="en-US" w:eastAsia="zh-CN"/>
        </w:rPr>
        <w:t xml:space="preserve">  </w:t>
      </w:r>
      <w:r>
        <w:rPr>
          <w:rFonts w:hint="eastAsia"/>
          <w:color w:val="000000"/>
        </w:rPr>
        <w:t>国家机关、事业单位应当落实政府绿色采购政策要求。国有企业应当执行企业绿色采购指南，鼓励其他企业自主开展绿色采购。</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全部或者部分使用财政性资金的国家机关、事业单位和团体组织应当贯彻绿色低碳高质量发展理念，厉行节约、反对浪费，采用绿色低碳产品，推进无纸化绿色办公，在绿色转型发展中发挥示范引领作用。</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第三十一条【绿色低碳单元建设】</w:t>
      </w:r>
      <w:r>
        <w:rPr>
          <w:rFonts w:hint="eastAsia" w:eastAsia="黑体"/>
          <w:color w:val="000000"/>
          <w:lang w:val="en-US" w:eastAsia="zh-CN"/>
        </w:rPr>
        <w:t xml:space="preserve">  </w:t>
      </w:r>
      <w:r>
        <w:rPr>
          <w:rFonts w:hint="eastAsia"/>
          <w:color w:val="000000"/>
        </w:rPr>
        <w:t>省人民政府发展改革、经济和信息化、生态环境、</w:t>
      </w:r>
      <w:r>
        <w:rPr>
          <w:color w:val="000000"/>
        </w:rPr>
        <w:t>自然资源</w:t>
      </w:r>
      <w:r>
        <w:rPr>
          <w:rFonts w:hint="eastAsia"/>
          <w:color w:val="000000"/>
        </w:rPr>
        <w:t>主管部门和其他有关部门应当按照职责采取措施，明确重点行业，分阶段梯度培养，支持和规范工业园区、社区、工厂、矿山</w:t>
      </w:r>
      <w:r>
        <w:rPr>
          <w:color w:val="000000"/>
        </w:rPr>
        <w:t>、</w:t>
      </w:r>
      <w:r>
        <w:rPr>
          <w:rFonts w:hint="eastAsia"/>
          <w:color w:val="000000"/>
        </w:rPr>
        <w:t>公共机构等进行绿色低碳单元建设，引导生产生活绿色化、低碳化。</w:t>
      </w:r>
    </w:p>
    <w:p>
      <w:pPr>
        <w:keepNext/>
        <w:keepLines/>
        <w:pageBreakBefore w:val="0"/>
        <w:kinsoku/>
        <w:wordWrap/>
        <w:overflowPunct/>
        <w:topLinePunct w:val="0"/>
        <w:autoSpaceDE/>
        <w:autoSpaceDN/>
        <w:bidi w:val="0"/>
        <w:spacing w:line="560" w:lineRule="exact"/>
        <w:ind w:firstLine="632" w:firstLineChars="200"/>
        <w:jc w:val="center"/>
        <w:textAlignment w:val="auto"/>
        <w:outlineLvl w:val="0"/>
        <w:rPr>
          <w:rFonts w:hint="eastAsia" w:eastAsia="黑体"/>
          <w:color w:val="000000"/>
          <w:kern w:val="44"/>
        </w:rPr>
      </w:pPr>
    </w:p>
    <w:p>
      <w:pPr>
        <w:keepNext/>
        <w:keepLines/>
        <w:pageBreakBefore w:val="0"/>
        <w:kinsoku/>
        <w:wordWrap/>
        <w:overflowPunct/>
        <w:topLinePunct w:val="0"/>
        <w:autoSpaceDE/>
        <w:autoSpaceDN/>
        <w:bidi w:val="0"/>
        <w:spacing w:line="560" w:lineRule="exact"/>
        <w:jc w:val="center"/>
        <w:textAlignment w:val="auto"/>
        <w:outlineLvl w:val="0"/>
        <w:rPr>
          <w:rFonts w:eastAsia="黑体"/>
          <w:color w:val="000000"/>
          <w:kern w:val="44"/>
        </w:rPr>
      </w:pPr>
      <w:r>
        <w:rPr>
          <w:rFonts w:hint="eastAsia" w:eastAsia="黑体"/>
          <w:color w:val="000000"/>
          <w:kern w:val="44"/>
        </w:rPr>
        <w:t xml:space="preserve">第五章 </w:t>
      </w:r>
      <w:r>
        <w:rPr>
          <w:rFonts w:hint="eastAsia" w:eastAsia="黑体"/>
          <w:color w:val="000000"/>
          <w:kern w:val="44"/>
          <w:lang w:val="en-US" w:eastAsia="zh-CN"/>
        </w:rPr>
        <w:t xml:space="preserve"> </w:t>
      </w:r>
      <w:r>
        <w:rPr>
          <w:rFonts w:hint="eastAsia" w:eastAsia="黑体"/>
          <w:color w:val="000000"/>
          <w:kern w:val="44"/>
        </w:rPr>
        <w:t>保障与监督</w:t>
      </w:r>
    </w:p>
    <w:p>
      <w:pPr>
        <w:pageBreakBefore w:val="0"/>
        <w:kinsoku/>
        <w:wordWrap/>
        <w:overflowPunct/>
        <w:topLinePunct w:val="0"/>
        <w:autoSpaceDE/>
        <w:autoSpaceDN/>
        <w:bidi w:val="0"/>
        <w:spacing w:line="560" w:lineRule="exact"/>
        <w:ind w:firstLine="632" w:firstLineChars="200"/>
        <w:textAlignment w:val="auto"/>
        <w:outlineLvl w:val="1"/>
        <w:rPr>
          <w:rFonts w:hint="eastAsia" w:eastAsia="黑体"/>
          <w:color w:val="000000"/>
        </w:rPr>
      </w:pP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第三十二条【绿色低碳</w:t>
      </w:r>
      <w:r>
        <w:rPr>
          <w:rFonts w:eastAsia="黑体"/>
          <w:color w:val="000000"/>
        </w:rPr>
        <w:t>科技需求</w:t>
      </w:r>
      <w:r>
        <w:rPr>
          <w:rFonts w:hint="eastAsia" w:eastAsia="黑体"/>
          <w:color w:val="000000"/>
        </w:rPr>
        <w:t>】</w:t>
      </w:r>
      <w:r>
        <w:rPr>
          <w:rFonts w:hint="eastAsia" w:eastAsia="黑体"/>
          <w:color w:val="000000"/>
          <w:lang w:val="en-US" w:eastAsia="zh-CN"/>
        </w:rPr>
        <w:t xml:space="preserve">  </w:t>
      </w:r>
      <w:r>
        <w:rPr>
          <w:rFonts w:hint="eastAsia"/>
          <w:color w:val="000000"/>
        </w:rPr>
        <w:t>省人民政府科学技术主管部门应当会同发展改革、经济和信息化、生态环境、自然</w:t>
      </w:r>
      <w:r>
        <w:rPr>
          <w:color w:val="000000"/>
        </w:rPr>
        <w:t>资源、</w:t>
      </w:r>
      <w:r>
        <w:rPr>
          <w:rFonts w:hint="eastAsia"/>
          <w:color w:val="000000"/>
        </w:rPr>
        <w:t>农业农村、林业等部门，编制绿色低碳领域科技创新需求清单，鼓励和支持企业、高等院校、科研机构等加强</w:t>
      </w:r>
      <w:r>
        <w:rPr>
          <w:color w:val="000000"/>
        </w:rPr>
        <w:t>关键核心绿色技术攻关，</w:t>
      </w:r>
      <w:r>
        <w:rPr>
          <w:rFonts w:hint="eastAsia"/>
          <w:color w:val="000000"/>
        </w:rPr>
        <w:t>积极申报</w:t>
      </w:r>
      <w:r>
        <w:rPr>
          <w:color w:val="000000"/>
        </w:rPr>
        <w:t>并承担</w:t>
      </w:r>
      <w:r>
        <w:rPr>
          <w:rFonts w:hint="eastAsia"/>
          <w:color w:val="000000"/>
        </w:rPr>
        <w:t>国家绿色低碳重大科技项目。</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县级以上知识产权主管部门应当推动绿色技术相关知识产权的运用与保护工作，引导和支持企业、高等院校、科研机构等主体在绿色低碳产业领域培育、布局高价值专利，促进专利技术成果转化与产业化应用。</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第三十三条【人才与服务能力建设】</w:t>
      </w:r>
      <w:r>
        <w:rPr>
          <w:rFonts w:hint="eastAsia" w:eastAsia="黑体"/>
          <w:color w:val="000000"/>
          <w:lang w:val="en-US" w:eastAsia="zh-CN"/>
        </w:rPr>
        <w:t xml:space="preserve">  </w:t>
      </w:r>
      <w:r>
        <w:rPr>
          <w:rFonts w:hint="eastAsia"/>
          <w:color w:val="000000"/>
        </w:rPr>
        <w:t>省人民政府支持高等院校、职业学校设置绿色技术相关专业，推进实施绿色技术领域产学合作协同育人项目，培养绿色低碳技术创新型人才和高技能人才。</w:t>
      </w:r>
    </w:p>
    <w:p>
      <w:pPr>
        <w:pageBreakBefore w:val="0"/>
        <w:kinsoku/>
        <w:wordWrap/>
        <w:overflowPunct/>
        <w:topLinePunct w:val="0"/>
        <w:autoSpaceDE/>
        <w:autoSpaceDN/>
        <w:bidi w:val="0"/>
        <w:spacing w:line="560" w:lineRule="exact"/>
        <w:ind w:firstLine="632" w:firstLineChars="200"/>
        <w:textAlignment w:val="auto"/>
        <w:rPr>
          <w:color w:val="000000"/>
        </w:rPr>
      </w:pPr>
      <w:r>
        <w:rPr>
          <w:color w:val="000000"/>
        </w:rPr>
        <w:t>鼓励企业与高等院校、职业学校等开展绿色低碳领域人才订单式培养，加强绿色技术经理人、经纪人队伍建设。</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鼓励企业、高等院校、科研机构、检验检测机构、认证机构等建立绿色技术验证平台，为绿色技术创新和转化应用提供定制试制、检验检测、认证评价等服务。</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第三十四条【税收、</w:t>
      </w:r>
      <w:r>
        <w:rPr>
          <w:rFonts w:eastAsia="黑体"/>
          <w:color w:val="000000"/>
        </w:rPr>
        <w:t>价格政策】</w:t>
      </w:r>
      <w:r>
        <w:rPr>
          <w:rFonts w:hint="eastAsia" w:eastAsia="黑体"/>
          <w:color w:val="000000"/>
          <w:lang w:val="en-US" w:eastAsia="zh-CN"/>
        </w:rPr>
        <w:t xml:space="preserve">  </w:t>
      </w:r>
      <w:r>
        <w:rPr>
          <w:rFonts w:hint="eastAsia"/>
          <w:color w:val="000000"/>
        </w:rPr>
        <w:t>税务机关应当依法落实环境保护、节能节水、资源综合利用等企业所得税优惠政策以及科技人员绿色技术创新成果转化收入个人所得税优惠政策，并为相关单位和个人办理税费优惠提供便利。</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省人民政府发展改革主管部门，应当组织落实国家制定的与能效、碳效水平挂钩的差别价格、阶梯价格等政策，引导节能降碳。</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第三十五条【资金政策】</w:t>
      </w:r>
      <w:r>
        <w:rPr>
          <w:rFonts w:hint="eastAsia" w:eastAsia="黑体"/>
          <w:color w:val="000000"/>
          <w:lang w:val="en-US" w:eastAsia="zh-CN"/>
        </w:rPr>
        <w:t xml:space="preserve">  </w:t>
      </w:r>
      <w:r>
        <w:rPr>
          <w:rFonts w:hint="eastAsia"/>
          <w:color w:val="000000"/>
        </w:rPr>
        <w:t>省人民政府财政主管部门应当加强财政资源统筹，优化财政支出结构，发挥产业基金引导作用，支持各行业绿色低碳转型。</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省人民政府地方金融管理主管部门应当会同相关部门，推动绿色金融创新，积极支持气候投融资发展，将符合条件的低碳先进技术研发应用、资源高效循环利用、低碳产品生产以及节能改造等项目列为重点投资领域，提供金融服务。</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第三十六条【数智化平台建设】</w:t>
      </w:r>
      <w:r>
        <w:rPr>
          <w:rFonts w:hint="eastAsia" w:eastAsia="黑体"/>
          <w:color w:val="000000"/>
          <w:lang w:val="en-US" w:eastAsia="zh-CN"/>
        </w:rPr>
        <w:t xml:space="preserve">  </w:t>
      </w:r>
      <w:r>
        <w:rPr>
          <w:color w:val="000000"/>
        </w:rPr>
        <w:t>省人民政府生态环境主管部门应当推进生态环境权益交易平台建设，推动资源环境要素市场化。</w:t>
      </w:r>
    </w:p>
    <w:p>
      <w:pPr>
        <w:pageBreakBefore w:val="0"/>
        <w:kinsoku/>
        <w:wordWrap/>
        <w:overflowPunct/>
        <w:topLinePunct w:val="0"/>
        <w:autoSpaceDE/>
        <w:autoSpaceDN/>
        <w:bidi w:val="0"/>
        <w:spacing w:line="560" w:lineRule="exact"/>
        <w:ind w:firstLine="632" w:firstLineChars="200"/>
        <w:textAlignment w:val="auto"/>
        <w:rPr>
          <w:color w:val="000000"/>
        </w:rPr>
      </w:pPr>
      <w:r>
        <w:rPr>
          <w:color w:val="000000"/>
        </w:rPr>
        <w:t>发展改革、经济和信息化、财政、</w:t>
      </w:r>
      <w:r>
        <w:rPr>
          <w:rFonts w:hint="eastAsia"/>
          <w:color w:val="000000"/>
        </w:rPr>
        <w:t>税务</w:t>
      </w:r>
      <w:r>
        <w:rPr>
          <w:color w:val="000000"/>
        </w:rPr>
        <w:t>、生态环境、</w:t>
      </w:r>
      <w:r>
        <w:rPr>
          <w:rFonts w:hint="eastAsia"/>
          <w:color w:val="000000"/>
        </w:rPr>
        <w:t>自然资源</w:t>
      </w:r>
      <w:r>
        <w:rPr>
          <w:color w:val="000000"/>
        </w:rPr>
        <w:t>、统计、数据等部门应当加强协作，建立</w:t>
      </w:r>
      <w:r>
        <w:rPr>
          <w:rFonts w:hint="eastAsia"/>
          <w:color w:val="000000"/>
        </w:rPr>
        <w:t>生态环境权益</w:t>
      </w:r>
      <w:r>
        <w:rPr>
          <w:color w:val="000000"/>
        </w:rPr>
        <w:t>相关数据部门共享机制，整合绿色金融信息、绿色金融评价、环境信息披露、</w:t>
      </w:r>
      <w:r>
        <w:rPr>
          <w:rFonts w:hint="eastAsia"/>
          <w:color w:val="000000"/>
        </w:rPr>
        <w:t>气候</w:t>
      </w:r>
      <w:r>
        <w:rPr>
          <w:color w:val="000000"/>
        </w:rPr>
        <w:t>信息披露、企业碳排放、碳减排和低碳转型技术应用</w:t>
      </w:r>
      <w:r>
        <w:rPr>
          <w:rFonts w:hint="eastAsia"/>
          <w:color w:val="000000"/>
        </w:rPr>
        <w:t>、</w:t>
      </w:r>
      <w:r>
        <w:rPr>
          <w:color w:val="000000"/>
        </w:rPr>
        <w:t>生态系统碳</w:t>
      </w:r>
      <w:r>
        <w:rPr>
          <w:rFonts w:hint="eastAsia"/>
          <w:color w:val="000000"/>
        </w:rPr>
        <w:t>汇</w:t>
      </w:r>
      <w:r>
        <w:rPr>
          <w:color w:val="000000"/>
        </w:rPr>
        <w:t>等相关信息。</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第三十七条【鼓励绿色消费】</w:t>
      </w:r>
      <w:r>
        <w:rPr>
          <w:rFonts w:hint="eastAsia" w:eastAsia="黑体"/>
          <w:color w:val="000000"/>
          <w:lang w:val="en-US" w:eastAsia="zh-CN"/>
        </w:rPr>
        <w:t xml:space="preserve">  </w:t>
      </w:r>
      <w:r>
        <w:rPr>
          <w:rFonts w:hint="eastAsia"/>
          <w:color w:val="000000"/>
        </w:rPr>
        <w:t>县级以上人民政府应当建立健全绿色消费激励机制，扩大绿色低碳产品供给，加强绿色消费宣传教育，推广绿色低碳生活方式，推动消费模式绿色转型。</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第三十八条【碳排放评价与环境信息披露】</w:t>
      </w:r>
      <w:r>
        <w:rPr>
          <w:rFonts w:hint="eastAsia" w:eastAsia="黑体"/>
          <w:color w:val="000000"/>
          <w:lang w:val="en-US" w:eastAsia="zh-CN"/>
        </w:rPr>
        <w:t xml:space="preserve">  </w:t>
      </w:r>
      <w:r>
        <w:rPr>
          <w:rFonts w:hint="eastAsia"/>
          <w:color w:val="000000"/>
        </w:rPr>
        <w:t>省人民政府生态环境主管部门应当推进建设项目碳排放纳入环境影响评价体系，加强源头管控，提升减污降碳协同治理水平。</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县级以上</w:t>
      </w:r>
      <w:r>
        <w:rPr>
          <w:color w:val="000000"/>
        </w:rPr>
        <w:t>人民政府发展改革</w:t>
      </w:r>
      <w:r>
        <w:rPr>
          <w:rFonts w:hint="eastAsia"/>
          <w:color w:val="000000"/>
        </w:rPr>
        <w:t>主管</w:t>
      </w:r>
      <w:r>
        <w:rPr>
          <w:color w:val="000000"/>
        </w:rPr>
        <w:t>部门</w:t>
      </w:r>
      <w:r>
        <w:rPr>
          <w:rFonts w:hint="eastAsia"/>
          <w:color w:val="000000"/>
        </w:rPr>
        <w:t>应当负责固定资产投资项目节能审查和碳排放评价。本省</w:t>
      </w:r>
      <w:r>
        <w:rPr>
          <w:color w:val="000000"/>
        </w:rPr>
        <w:t>行政区域内节能审查</w:t>
      </w:r>
      <w:r>
        <w:rPr>
          <w:rFonts w:hint="eastAsia"/>
          <w:color w:val="000000"/>
        </w:rPr>
        <w:t>具体</w:t>
      </w:r>
      <w:r>
        <w:rPr>
          <w:color w:val="000000"/>
        </w:rPr>
        <w:t>实施办法由省人民政府</w:t>
      </w:r>
      <w:r>
        <w:rPr>
          <w:rFonts w:hint="eastAsia"/>
          <w:color w:val="000000"/>
        </w:rPr>
        <w:t>发展</w:t>
      </w:r>
      <w:r>
        <w:rPr>
          <w:color w:val="000000"/>
        </w:rPr>
        <w:t>改革主管部门制定。</w:t>
      </w:r>
      <w:r>
        <w:rPr>
          <w:rFonts w:hint="eastAsia"/>
          <w:color w:val="000000"/>
        </w:rPr>
        <w:t>人行湖北省分行应当明确将金融机构环境信息披露要求纳入全省绿色金融评价与激励机制。引导湖北省内金融机构依法依规主动开展环境信息披露，鼓励</w:t>
      </w:r>
      <w:r>
        <w:rPr>
          <w:color w:val="000000"/>
        </w:rPr>
        <w:t>金融机构开展气候信息披露，</w:t>
      </w:r>
      <w:r>
        <w:rPr>
          <w:rFonts w:hint="eastAsia"/>
          <w:color w:val="000000"/>
        </w:rPr>
        <w:t>对持续开展全面环境信息和</w:t>
      </w:r>
      <w:r>
        <w:rPr>
          <w:color w:val="000000"/>
        </w:rPr>
        <w:t>气候信息</w:t>
      </w:r>
      <w:r>
        <w:rPr>
          <w:rFonts w:hint="eastAsia"/>
          <w:color w:val="000000"/>
        </w:rPr>
        <w:t>披露的机构给予政策倾斜。</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第三十九条【碳资产管理】</w:t>
      </w:r>
      <w:r>
        <w:rPr>
          <w:rFonts w:hint="eastAsia" w:eastAsia="黑体"/>
          <w:color w:val="000000"/>
          <w:lang w:val="en-US" w:eastAsia="zh-CN"/>
        </w:rPr>
        <w:t xml:space="preserve">  </w:t>
      </w:r>
      <w:r>
        <w:rPr>
          <w:rFonts w:hint="eastAsia"/>
          <w:color w:val="000000"/>
        </w:rPr>
        <w:t>持有</w:t>
      </w:r>
      <w:r>
        <w:rPr>
          <w:color w:val="000000"/>
        </w:rPr>
        <w:t>碳资产的</w:t>
      </w:r>
      <w:r>
        <w:rPr>
          <w:rFonts w:hint="eastAsia"/>
          <w:color w:val="000000"/>
        </w:rPr>
        <w:t>排放单位应当加强碳资产管理，依据法律及国家相关规定，建立健全碳资产管理、碳排放统计计量核算、台账管理、数据质量控制、信息披露与配额清缴制度，落实碳排放总量和强度控制要求，规范参与碳排放权交易与温室气体自愿减排活动，接受生态环境主管部门监督检查。</w:t>
      </w:r>
    </w:p>
    <w:p>
      <w:pPr>
        <w:keepNext/>
        <w:keepLines/>
        <w:pageBreakBefore w:val="0"/>
        <w:kinsoku/>
        <w:wordWrap/>
        <w:overflowPunct/>
        <w:topLinePunct w:val="0"/>
        <w:autoSpaceDE/>
        <w:autoSpaceDN/>
        <w:bidi w:val="0"/>
        <w:spacing w:line="560" w:lineRule="exact"/>
        <w:ind w:firstLine="632" w:firstLineChars="200"/>
        <w:jc w:val="center"/>
        <w:textAlignment w:val="auto"/>
        <w:outlineLvl w:val="0"/>
        <w:rPr>
          <w:rFonts w:hint="eastAsia" w:eastAsia="黑体"/>
          <w:color w:val="000000"/>
          <w:kern w:val="44"/>
        </w:rPr>
      </w:pPr>
    </w:p>
    <w:p>
      <w:pPr>
        <w:keepNext/>
        <w:keepLines/>
        <w:pageBreakBefore w:val="0"/>
        <w:kinsoku/>
        <w:wordWrap/>
        <w:overflowPunct/>
        <w:topLinePunct w:val="0"/>
        <w:autoSpaceDE/>
        <w:autoSpaceDN/>
        <w:bidi w:val="0"/>
        <w:spacing w:line="560" w:lineRule="exact"/>
        <w:jc w:val="center"/>
        <w:textAlignment w:val="auto"/>
        <w:outlineLvl w:val="0"/>
        <w:rPr>
          <w:rFonts w:eastAsia="黑体"/>
          <w:color w:val="000000"/>
          <w:kern w:val="44"/>
        </w:rPr>
      </w:pPr>
      <w:r>
        <w:rPr>
          <w:rFonts w:hint="eastAsia" w:eastAsia="黑体"/>
          <w:color w:val="000000"/>
          <w:kern w:val="44"/>
        </w:rPr>
        <w:t>第六</w:t>
      </w:r>
      <w:r>
        <w:rPr>
          <w:rFonts w:eastAsia="黑体"/>
          <w:color w:val="000000"/>
          <w:kern w:val="44"/>
        </w:rPr>
        <w:t>章</w:t>
      </w:r>
      <w:r>
        <w:rPr>
          <w:rFonts w:hint="eastAsia" w:eastAsia="黑体"/>
          <w:color w:val="000000"/>
          <w:kern w:val="44"/>
        </w:rPr>
        <w:t xml:space="preserve"> 法律</w:t>
      </w:r>
      <w:r>
        <w:rPr>
          <w:rFonts w:eastAsia="黑体"/>
          <w:color w:val="000000"/>
          <w:kern w:val="44"/>
        </w:rPr>
        <w:t>责任</w:t>
      </w:r>
    </w:p>
    <w:p>
      <w:pPr>
        <w:pageBreakBefore w:val="0"/>
        <w:kinsoku/>
        <w:wordWrap/>
        <w:overflowPunct/>
        <w:topLinePunct w:val="0"/>
        <w:autoSpaceDE/>
        <w:autoSpaceDN/>
        <w:bidi w:val="0"/>
        <w:spacing w:line="560" w:lineRule="exact"/>
        <w:ind w:firstLine="632" w:firstLineChars="200"/>
        <w:textAlignment w:val="auto"/>
        <w:outlineLvl w:val="1"/>
        <w:rPr>
          <w:rFonts w:hint="eastAsia" w:eastAsia="黑体"/>
          <w:color w:val="000000"/>
        </w:rPr>
      </w:pP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第四十条【衔接条款】</w:t>
      </w:r>
      <w:r>
        <w:rPr>
          <w:rFonts w:hint="eastAsia" w:eastAsia="黑体"/>
          <w:color w:val="000000"/>
          <w:lang w:val="en-US" w:eastAsia="zh-CN"/>
        </w:rPr>
        <w:t xml:space="preserve">  </w:t>
      </w:r>
      <w:r>
        <w:rPr>
          <w:rFonts w:hint="eastAsia"/>
          <w:color w:val="000000"/>
        </w:rPr>
        <w:t>本条例规定的行政处罚，法律、行政法规另有规定的，从其规定。</w:t>
      </w:r>
    </w:p>
    <w:p>
      <w:pPr>
        <w:pageBreakBefore w:val="0"/>
        <w:kinsoku/>
        <w:wordWrap/>
        <w:overflowPunct/>
        <w:topLinePunct w:val="0"/>
        <w:autoSpaceDE/>
        <w:autoSpaceDN/>
        <w:bidi w:val="0"/>
        <w:spacing w:line="560" w:lineRule="exact"/>
        <w:ind w:firstLine="632" w:firstLineChars="200"/>
        <w:textAlignment w:val="auto"/>
        <w:outlineLvl w:val="1"/>
        <w:rPr>
          <w:rFonts w:eastAsia="黑体"/>
          <w:color w:val="000000"/>
        </w:rPr>
      </w:pPr>
      <w:r>
        <w:rPr>
          <w:rFonts w:hint="eastAsia" w:eastAsia="黑体"/>
          <w:color w:val="000000"/>
        </w:rPr>
        <w:t>第四十一条【行政责任】</w:t>
      </w:r>
      <w:r>
        <w:rPr>
          <w:rFonts w:hint="eastAsia" w:eastAsia="黑体"/>
          <w:color w:val="000000"/>
          <w:lang w:val="en-US" w:eastAsia="zh-CN"/>
        </w:rPr>
        <w:t xml:space="preserve">  </w:t>
      </w:r>
      <w:r>
        <w:rPr>
          <w:rFonts w:hint="eastAsia"/>
          <w:color w:val="000000"/>
        </w:rPr>
        <w:t>省级及</w:t>
      </w:r>
      <w:r>
        <w:rPr>
          <w:color w:val="000000"/>
        </w:rPr>
        <w:t>以下</w:t>
      </w:r>
      <w:r>
        <w:rPr>
          <w:rFonts w:hint="eastAsia"/>
          <w:color w:val="000000"/>
        </w:rPr>
        <w:t>各相关主管部门及其工作人员，在碳市场建设管理过程中玩忽职守、滥用职权、徇私舞弊的，依法给予处分。</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第四十二条【对技术服务机构违法行为的</w:t>
      </w:r>
      <w:r>
        <w:rPr>
          <w:rFonts w:eastAsia="黑体"/>
          <w:color w:val="000000"/>
        </w:rPr>
        <w:t>处罚</w:t>
      </w:r>
      <w:r>
        <w:rPr>
          <w:rFonts w:hint="eastAsia" w:eastAsia="黑体"/>
          <w:color w:val="000000"/>
        </w:rPr>
        <w:t>】</w:t>
      </w:r>
      <w:r>
        <w:rPr>
          <w:rFonts w:hint="eastAsia" w:eastAsia="黑体"/>
          <w:color w:val="000000"/>
          <w:lang w:val="en-US" w:eastAsia="zh-CN"/>
        </w:rPr>
        <w:t xml:space="preserve">  </w:t>
      </w:r>
      <w:r>
        <w:rPr>
          <w:rFonts w:hint="eastAsia"/>
          <w:color w:val="000000"/>
        </w:rPr>
        <w:t>技术服务机构出具的年度排放报告或者技术审核报告存在重大缺陷或者遗漏，在编制年度排放报告或者对年度排放报告进行技术审核过程中篡改、伪造数据资料，使用虚假的数据资料或者实施其他弄虚作假行为的，由省人民政府生态环境部门责令改正，处20万元以上30万元以下罚款；对其直接负责的主管人员和其他直接责任人员处2万元以上20万元以下罚款，</w:t>
      </w:r>
      <w:r>
        <w:rPr>
          <w:color w:val="000000"/>
        </w:rPr>
        <w:t>3年内禁止从事编制年度排放报告、技术审核等工作</w:t>
      </w:r>
      <w:r>
        <w:rPr>
          <w:rFonts w:hint="eastAsia"/>
          <w:color w:val="000000"/>
        </w:rPr>
        <w:t>。</w:t>
      </w: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第四十三条【对违反碳资产</w:t>
      </w:r>
      <w:r>
        <w:rPr>
          <w:rFonts w:eastAsia="黑体"/>
          <w:color w:val="000000"/>
        </w:rPr>
        <w:t>管理</w:t>
      </w:r>
      <w:r>
        <w:rPr>
          <w:rFonts w:hint="eastAsia" w:eastAsia="黑体"/>
          <w:color w:val="000000"/>
        </w:rPr>
        <w:t>行为的</w:t>
      </w:r>
      <w:r>
        <w:rPr>
          <w:rFonts w:eastAsia="黑体"/>
          <w:color w:val="000000"/>
        </w:rPr>
        <w:t>处罚</w:t>
      </w:r>
      <w:r>
        <w:rPr>
          <w:rFonts w:hint="eastAsia" w:eastAsia="黑体"/>
          <w:color w:val="000000"/>
        </w:rPr>
        <w:t>】</w:t>
      </w:r>
      <w:r>
        <w:rPr>
          <w:rFonts w:hint="eastAsia" w:eastAsia="黑体"/>
          <w:color w:val="000000"/>
          <w:lang w:val="en-US" w:eastAsia="zh-CN"/>
        </w:rPr>
        <w:t xml:space="preserve">  </w:t>
      </w:r>
      <w:r>
        <w:rPr>
          <w:rFonts w:hint="eastAsia"/>
          <w:color w:val="000000"/>
        </w:rPr>
        <w:t>违反本条例未按要求建立并执行碳资产管理、碳排放统计核算、台账管理、数据质量控制、信息披露及配额清缴制度的，由生态环境主管部门责令限期改正；逾期不改正的，处2万元以上2</w:t>
      </w:r>
      <w:r>
        <w:rPr>
          <w:color w:val="000000"/>
        </w:rPr>
        <w:t>0</w:t>
      </w:r>
      <w:r>
        <w:rPr>
          <w:rFonts w:hint="eastAsia"/>
          <w:color w:val="000000"/>
        </w:rPr>
        <w:t>万元以下罚款；情节严重的，责令停产整治。</w:t>
      </w:r>
    </w:p>
    <w:p>
      <w:pPr>
        <w:keepNext/>
        <w:keepLines/>
        <w:pageBreakBefore w:val="0"/>
        <w:kinsoku/>
        <w:wordWrap/>
        <w:overflowPunct/>
        <w:topLinePunct w:val="0"/>
        <w:autoSpaceDE/>
        <w:autoSpaceDN/>
        <w:bidi w:val="0"/>
        <w:spacing w:line="560" w:lineRule="exact"/>
        <w:ind w:firstLine="632" w:firstLineChars="200"/>
        <w:jc w:val="center"/>
        <w:textAlignment w:val="auto"/>
        <w:outlineLvl w:val="0"/>
        <w:rPr>
          <w:rFonts w:hint="eastAsia" w:eastAsia="黑体"/>
          <w:color w:val="000000"/>
          <w:kern w:val="44"/>
        </w:rPr>
      </w:pPr>
    </w:p>
    <w:p>
      <w:pPr>
        <w:keepNext/>
        <w:keepLines/>
        <w:pageBreakBefore w:val="0"/>
        <w:kinsoku/>
        <w:wordWrap/>
        <w:overflowPunct/>
        <w:topLinePunct w:val="0"/>
        <w:autoSpaceDE/>
        <w:autoSpaceDN/>
        <w:bidi w:val="0"/>
        <w:spacing w:line="560" w:lineRule="exact"/>
        <w:jc w:val="center"/>
        <w:textAlignment w:val="auto"/>
        <w:outlineLvl w:val="0"/>
        <w:rPr>
          <w:rFonts w:eastAsia="黑体"/>
          <w:color w:val="000000"/>
          <w:kern w:val="44"/>
        </w:rPr>
      </w:pPr>
      <w:r>
        <w:rPr>
          <w:rFonts w:hint="eastAsia" w:eastAsia="黑体"/>
          <w:color w:val="000000"/>
          <w:kern w:val="44"/>
        </w:rPr>
        <w:t xml:space="preserve">第七章 </w:t>
      </w:r>
      <w:r>
        <w:rPr>
          <w:rFonts w:hint="eastAsia" w:eastAsia="黑体"/>
          <w:color w:val="000000"/>
          <w:kern w:val="44"/>
          <w:lang w:val="en-US" w:eastAsia="zh-CN"/>
        </w:rPr>
        <w:t xml:space="preserve"> </w:t>
      </w:r>
      <w:r>
        <w:rPr>
          <w:rFonts w:hint="eastAsia" w:eastAsia="黑体"/>
          <w:color w:val="000000"/>
          <w:kern w:val="44"/>
        </w:rPr>
        <w:t>附</w:t>
      </w:r>
      <w:r>
        <w:rPr>
          <w:rFonts w:hint="eastAsia" w:eastAsia="黑体"/>
          <w:color w:val="000000"/>
          <w:kern w:val="44"/>
          <w:lang w:val="en-US" w:eastAsia="zh-CN"/>
        </w:rPr>
        <w:t xml:space="preserve">  </w:t>
      </w:r>
      <w:r>
        <w:rPr>
          <w:rFonts w:hint="eastAsia" w:eastAsia="黑体"/>
          <w:color w:val="000000"/>
          <w:kern w:val="44"/>
        </w:rPr>
        <w:t>则</w:t>
      </w:r>
    </w:p>
    <w:p>
      <w:pPr>
        <w:pageBreakBefore w:val="0"/>
        <w:kinsoku/>
        <w:wordWrap/>
        <w:overflowPunct/>
        <w:topLinePunct w:val="0"/>
        <w:autoSpaceDE/>
        <w:autoSpaceDN/>
        <w:bidi w:val="0"/>
        <w:spacing w:line="560" w:lineRule="exact"/>
        <w:ind w:firstLine="632" w:firstLineChars="200"/>
        <w:textAlignment w:val="auto"/>
        <w:outlineLvl w:val="1"/>
        <w:rPr>
          <w:rFonts w:hint="eastAsia" w:eastAsia="黑体"/>
          <w:color w:val="000000"/>
        </w:rPr>
      </w:pPr>
    </w:p>
    <w:p>
      <w:pPr>
        <w:pageBreakBefore w:val="0"/>
        <w:kinsoku/>
        <w:wordWrap/>
        <w:overflowPunct/>
        <w:topLinePunct w:val="0"/>
        <w:autoSpaceDE/>
        <w:autoSpaceDN/>
        <w:bidi w:val="0"/>
        <w:spacing w:line="560" w:lineRule="exact"/>
        <w:ind w:firstLine="632" w:firstLineChars="200"/>
        <w:textAlignment w:val="auto"/>
        <w:outlineLvl w:val="1"/>
        <w:rPr>
          <w:color w:val="000000"/>
        </w:rPr>
      </w:pPr>
      <w:r>
        <w:rPr>
          <w:rFonts w:hint="eastAsia" w:eastAsia="黑体"/>
          <w:color w:val="000000"/>
        </w:rPr>
        <w:t>第四十四条【用语含义】</w:t>
      </w:r>
      <w:r>
        <w:rPr>
          <w:rFonts w:hint="eastAsia" w:eastAsia="黑体"/>
          <w:color w:val="000000"/>
          <w:lang w:val="en-US" w:eastAsia="zh-CN"/>
        </w:rPr>
        <w:t xml:space="preserve">  </w:t>
      </w:r>
      <w:r>
        <w:rPr>
          <w:rFonts w:hint="eastAsia"/>
          <w:color w:val="000000"/>
        </w:rPr>
        <w:t>本条例中下列用语的含义：</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（一）碳排放：是指煤炭、石油、天然气等化石能源燃烧活动和工业生产过程以及土地利用变化与林业等活动产生的温室气体排放，也包括因使用外购的电力和热力等所导致的温室气体排放；</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（二）碳排放权：是指分配给重点排放单位的规定时期内的碳排放额度；</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（三）碳</w:t>
      </w:r>
      <w:r>
        <w:rPr>
          <w:color w:val="000000"/>
        </w:rPr>
        <w:t>足迹：是</w:t>
      </w:r>
      <w:r>
        <w:rPr>
          <w:rFonts w:hint="eastAsia"/>
          <w:color w:val="000000"/>
        </w:rPr>
        <w:t>指</w:t>
      </w:r>
      <w:r>
        <w:rPr>
          <w:color w:val="000000"/>
        </w:rPr>
        <w:t>以</w:t>
      </w:r>
      <w:r>
        <w:rPr>
          <w:rFonts w:hint="eastAsia"/>
          <w:color w:val="000000"/>
        </w:rPr>
        <w:t>二氧化碳</w:t>
      </w:r>
      <w:r>
        <w:rPr>
          <w:color w:val="000000"/>
        </w:rPr>
        <w:t>当量表示的温室气体排放量和温室气体清除量的</w:t>
      </w:r>
      <w:r>
        <w:rPr>
          <w:rFonts w:hint="eastAsia"/>
          <w:color w:val="000000"/>
        </w:rPr>
        <w:t>总和；</w:t>
      </w:r>
    </w:p>
    <w:p>
      <w:pPr>
        <w:pageBreakBefore w:val="0"/>
        <w:kinsoku/>
        <w:wordWrap/>
        <w:overflowPunct/>
        <w:topLinePunct w:val="0"/>
        <w:autoSpaceDE/>
        <w:autoSpaceDN/>
        <w:bidi w:val="0"/>
        <w:spacing w:line="560" w:lineRule="exact"/>
        <w:ind w:firstLine="632" w:firstLineChars="200"/>
        <w:textAlignment w:val="auto"/>
        <w:rPr>
          <w:color w:val="000000"/>
        </w:rPr>
      </w:pPr>
      <w:r>
        <w:rPr>
          <w:rFonts w:hint="eastAsia"/>
          <w:color w:val="000000"/>
        </w:rPr>
        <w:t>（四）核证自愿减排量：是指对本省行政区域内温室气体减排项目实施效果进行量化核证并登记的温室气体减排量；</w:t>
      </w:r>
    </w:p>
    <w:p>
      <w:pPr>
        <w:pageBreakBefore w:val="0"/>
        <w:kinsoku/>
        <w:wordWrap/>
        <w:overflowPunct/>
        <w:topLinePunct w:val="0"/>
        <w:autoSpaceDE/>
        <w:autoSpaceDN/>
        <w:bidi w:val="0"/>
        <w:spacing w:line="560" w:lineRule="exact"/>
        <w:ind w:firstLine="632" w:firstLineChars="200"/>
        <w:textAlignment w:val="auto"/>
        <w:rPr>
          <w:rFonts w:hint="eastAsia"/>
          <w:color w:val="000000"/>
        </w:rPr>
      </w:pPr>
      <w:r>
        <w:rPr>
          <w:rFonts w:hint="eastAsia"/>
          <w:color w:val="000000"/>
        </w:rPr>
        <w:t>（五）碳</w:t>
      </w:r>
      <w:r>
        <w:rPr>
          <w:color w:val="000000"/>
        </w:rPr>
        <w:t>资产</w:t>
      </w:r>
      <w:r>
        <w:rPr>
          <w:rFonts w:hint="eastAsia"/>
          <w:color w:val="000000"/>
        </w:rPr>
        <w:t>：由特定主体合法拥有或控制，能带来直接或间接经济利益，与温室气体活动有关的资源，包括碳排放配额、核证自愿减排量及其衍生品等。</w:t>
      </w:r>
    </w:p>
    <w:p>
      <w:pPr>
        <w:pageBreakBefore w:val="0"/>
        <w:kinsoku/>
        <w:wordWrap/>
        <w:overflowPunct/>
        <w:topLinePunct w:val="0"/>
        <w:autoSpaceDE/>
        <w:autoSpaceDN/>
        <w:bidi w:val="0"/>
        <w:spacing w:line="560" w:lineRule="exact"/>
        <w:ind w:firstLine="632" w:firstLineChars="200"/>
        <w:textAlignment w:val="auto"/>
        <w:rPr>
          <w:sz w:val="32"/>
          <w:szCs w:val="32"/>
        </w:rPr>
      </w:pPr>
      <w:r>
        <w:rPr>
          <w:rFonts w:hint="eastAsia" w:eastAsia="黑体"/>
          <w:color w:val="000000"/>
        </w:rPr>
        <w:t>第四十五条【实施日期】</w:t>
      </w:r>
      <w:r>
        <w:rPr>
          <w:rFonts w:hint="eastAsia" w:eastAsia="黑体"/>
          <w:color w:val="000000"/>
          <w:lang w:val="en-US" w:eastAsia="zh-CN"/>
        </w:rPr>
        <w:t xml:space="preserve">  </w:t>
      </w:r>
      <w:r>
        <w:rPr>
          <w:rFonts w:hint="eastAsia"/>
          <w:color w:val="000000"/>
        </w:rPr>
        <w:t>本条例自202 年 月 日起施行。本条例</w:t>
      </w:r>
      <w:r>
        <w:rPr>
          <w:color w:val="000000"/>
        </w:rPr>
        <w:t>实施后，</w:t>
      </w:r>
      <w:r>
        <w:rPr>
          <w:rFonts w:hint="eastAsia"/>
          <w:color w:val="000000"/>
        </w:rPr>
        <w:t>《湖北省</w:t>
      </w:r>
      <w:r>
        <w:rPr>
          <w:color w:val="000000"/>
        </w:rPr>
        <w:t>碳排放权交易管理</w:t>
      </w:r>
      <w:r>
        <w:rPr>
          <w:rFonts w:hint="eastAsia"/>
          <w:color w:val="000000"/>
        </w:rPr>
        <w:t>暂行</w:t>
      </w:r>
      <w:r>
        <w:rPr>
          <w:color w:val="000000"/>
        </w:rPr>
        <w:t>办法</w:t>
      </w:r>
      <w:r>
        <w:rPr>
          <w:rFonts w:hint="eastAsia"/>
          <w:color w:val="000000"/>
        </w:rPr>
        <w:t>》与</w:t>
      </w:r>
      <w:r>
        <w:rPr>
          <w:color w:val="000000"/>
        </w:rPr>
        <w:t>本条例不一致的，按照本条例执行。</w:t>
      </w:r>
      <w:r>
        <w:rPr>
          <w:sz w:val="32"/>
          <w:szCs w:val="32"/>
        </w:rPr>
        <mc:AlternateContent>
          <mc:Choice Requires="wps">
            <w:drawing>
              <wp:anchor distT="0" distB="0" distL="114300" distR="114300" simplePos="0" relativeHeight="251660288" behindDoc="0" locked="0" layoutInCell="1" hidden="true" allowOverlap="1">
                <wp:simplePos x="0" y="0"/>
                <wp:positionH relativeFrom="column">
                  <wp:posOffset>-1270000</wp:posOffset>
                </wp:positionH>
                <wp:positionV relativeFrom="paragraph">
                  <wp:posOffset>-787400</wp:posOffset>
                </wp:positionV>
                <wp:extent cx="63500" cy="63500"/>
                <wp:effectExtent l="0" t="0" r="0" b="0"/>
                <wp:wrapNone/>
                <wp:docPr id="1" name="矩形 1" descr="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xDTBzRQUtT3iMmrG7PdC98FS/VB6b+6+F88XnU5HhNJTKlWetsP0GWGF3B2Zx4/M92g7gfh04XCk6NUhdL6MbkeBMWw0S0KMubtrVDFsINH1mGCSYUsSC2yL63gtIpigHqL+7yUoudusjhz4b+m/tC/H+IFwPZpX7A1JbriCnMUqbGWVjOcZhkzByZhzDURjoM/4W+sR6XKnKA2fiFPUw6ne4ds8iyixFdWI1625hmt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true"/>
                <wp:cNvGraphicFramePr/>
                <a:graphic xmlns:a="http://schemas.openxmlformats.org/drawingml/2006/main">
                  <a:graphicData uri="http://schemas.microsoft.com/office/word/2010/wordprocessingShape">
                    <wps:wsp>
                      <wps:cNvSpPr/>
                      <wps:spPr>
                        <a:xfrm>
                          <a:off x="0" y="0"/>
                          <a:ext cx="63500" cy="63500"/>
                        </a:xfrm>
                        <a:prstGeom prst="rect">
                          <a:avLst/>
                        </a:prstGeom>
                        <a:noFill/>
                        <a:ln>
                          <a:noFill/>
                        </a:ln>
                      </wps:spPr>
                      <wps:bodyPr upright="true"/>
                    </wps:wsp>
                  </a:graphicData>
                </a:graphic>
              </wp:anchor>
            </w:drawing>
          </mc:Choice>
          <mc:Fallback>
            <w:pict>
              <v:rect id="_x0000_s1026" o:spid="_x0000_s1026" o:spt="1" alt="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xDTBzRQUtT3iMmrG7PdC98FS/VB6b+6+F88XnU5HhNJTKlWetsP0GWGF3B2Zx4/M92g7gfh04XCk6NUhdL6MbkeBMWw0S0KMubtrVDFsINH1mGCSYUsSC2yL63gtIpigHqL+7yUoudusjhz4b+m/tC/H+IFwPZpX7A1JbriCnMUqbGWVjOcZhkzByZhzDURjoM/4W+sR6XKnKA2fiFPUw6ne4ds8iyixFdWI1625hmt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60288;mso-width-relative:page;mso-height-relative:page;" filled="f" stroked="f" coordsize="21600,21600" o:gfxdata="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">
                <v:path/>
                <v:fill on="f" focussize="0,0"/>
                <v:stroke on="f"/>
                <v:imagedata o:title=""/>
                <o:lock v:ext="edit" grouping="f" rotation="f" text="f" aspectratio="f"/>
              </v:rect>
            </w:pict>
          </mc:Fallback>
        </mc:AlternateContent>
      </w:r>
    </w:p>
    <w:p>
      <w:bookmarkStart w:id="4" w:name="_GoBack"/>
      <w:bookmarkEnd w:id="4"/>
    </w:p>
    <w:sectPr>
      <w:footerReference r:id="rId3" w:type="default"/>
      <w:pgSz w:w="11906" w:h="16838"/>
      <w:pgMar w:top="1531" w:right="1531" w:bottom="1531" w:left="1531" w:header="851" w:footer="1134" w:gutter="0"/>
      <w:cols w:space="720" w:num="1"/>
      <w:rtlGutter w:val="0"/>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楷体">
    <w:panose1 w:val="02000500000000000000"/>
    <w:charset w:val="86"/>
    <w:family w:val="auto"/>
    <w:pitch w:val="default"/>
    <w:sig w:usb0="00000001" w:usb1="0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path/>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5331460" y="9922510"/>
                        <a:ext cx="1828800" cy="1828800"/>
                      </a:xfrm>
                      <a:prstGeom prst="rect">
                        <a:avLst/>
                      </a:prstGeom>
                      <a:noFill/>
                      <a:ln w="6350">
                        <a:noFill/>
                      </a:ln>
                      <a:effectLst/>
                    </wps:spPr>
                    <wps:txbx>
                      <w:txbxContent>
                        <w:p>
                          <w:pPr>
                            <w:pStyle w:val="2"/>
                            <w:ind w:right="360" w:firstLine="360"/>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DT8Gr8MAIAAEMEAAAOAAAAAAAAAAEAIAAAADUB&#10;AABkcnMvZTJvRG9jLnhtbFBLBQYAAAAABgAGAFkBAADXBQAAAAA=&#10;">
              <v:path/>
              <v:fill on="f" focussize="0,0"/>
              <v:stroke on="f" weight="0.5pt"/>
              <v:imagedata o:title=""/>
              <o:lock v:ext="edit" aspectratio="f"/>
              <v:textbox inset="0mm,0mm,0mm,0mm" style="mso-fit-shape-to-text:t;">
                <w:txbxContent>
                  <w:p>
                    <w:pPr>
                      <w:pStyle w:val="2"/>
                      <w:ind w:right="360" w:firstLine="36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FB409"/>
    <w:rsid w:val="4BBFB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2026-04-30T16:49:00Z</dcterms:created>
  <dc:creator>UOS</dc:creator>
  <cp:lastModifiedBy>UOS</cp:lastModifiedBy>
  <dcterms:modified xsi:type="dcterms:W3CDTF">2026-04-30T16:51:21Z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