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79" w:lineRule="exact"/>
        <w:jc w:val="center"/>
        <w:textAlignment w:val="auto"/>
        <w:rPr>
          <w:rFonts w:hint="eastAsia" w:ascii="方正小标宋简体" w:hAnsi="方正小标宋_GBK" w:eastAsia="方正小标宋简体" w:cs="方正小标宋_GBK"/>
          <w:color w:val="000000"/>
          <w:sz w:val="44"/>
          <w:szCs w:val="44"/>
        </w:rPr>
      </w:pPr>
      <w:bookmarkStart w:id="0" w:name="_GoBack"/>
      <w:r>
        <w:rPr>
          <w:rFonts w:hint="eastAsia" w:ascii="方正小标宋简体" w:hAnsi="方正小标宋_GBK" w:eastAsia="方正小标宋简体" w:cs="方正小标宋_GBK"/>
          <w:color w:val="000000"/>
          <w:sz w:val="44"/>
          <w:szCs w:val="44"/>
        </w:rPr>
        <w:t>《湖北省征兵工作条例（</w:t>
      </w:r>
      <w:r>
        <w:rPr>
          <w:rFonts w:hint="eastAsia" w:ascii="方正小标宋简体" w:hAnsi="方正小标宋_GBK" w:eastAsia="方正小标宋简体" w:cs="方正小标宋_GBK"/>
          <w:color w:val="000000"/>
          <w:sz w:val="44"/>
          <w:szCs w:val="44"/>
          <w:lang w:eastAsia="zh-CN"/>
        </w:rPr>
        <w:t>修订送审稿</w:t>
      </w:r>
      <w:r>
        <w:rPr>
          <w:rFonts w:hint="eastAsia" w:ascii="方正小标宋简体" w:hAnsi="方正小标宋_GBK" w:eastAsia="方正小标宋简体" w:cs="方正小标宋_GBK"/>
          <w:color w:val="000000"/>
          <w:sz w:val="44"/>
          <w:szCs w:val="44"/>
        </w:rPr>
        <w:t>）》</w:t>
      </w:r>
    </w:p>
    <w:bookmarkEnd w:id="0"/>
    <w:p>
      <w:pPr>
        <w:keepNext w:val="0"/>
        <w:keepLines w:val="0"/>
        <w:pageBreakBefore w:val="0"/>
        <w:kinsoku/>
        <w:wordWrap/>
        <w:topLinePunct w:val="0"/>
        <w:autoSpaceDE/>
        <w:autoSpaceDN/>
        <w:bidi w:val="0"/>
        <w:spacing w:line="579" w:lineRule="exact"/>
        <w:textAlignment w:val="auto"/>
        <w:rPr>
          <w:rFonts w:hint="eastAsia" w:ascii="方正小标宋_GBK" w:hAnsi="方正小标宋_GBK" w:eastAsia="方正小标宋_GBK" w:cs="方正小标宋_GBK"/>
          <w:color w:val="000000"/>
          <w:sz w:val="32"/>
          <w:szCs w:val="32"/>
        </w:rPr>
      </w:pPr>
    </w:p>
    <w:p>
      <w:pPr>
        <w:keepNext w:val="0"/>
        <w:keepLines w:val="0"/>
        <w:pageBreakBefore w:val="0"/>
        <w:kinsoku/>
        <w:wordWrap/>
        <w:topLinePunct w:val="0"/>
        <w:autoSpaceDE/>
        <w:autoSpaceDN/>
        <w:bidi w:val="0"/>
        <w:spacing w:line="579" w:lineRule="exact"/>
        <w:jc w:val="center"/>
        <w:textAlignment w:val="auto"/>
        <w:rPr>
          <w:rFonts w:hint="eastAsia" w:ascii="黑体" w:hAnsi="黑体" w:eastAsia="黑体" w:cs="方正小标宋_GBK"/>
          <w:color w:val="000000"/>
          <w:sz w:val="32"/>
          <w:szCs w:val="32"/>
        </w:rPr>
      </w:pPr>
      <w:r>
        <w:rPr>
          <w:rFonts w:hint="eastAsia" w:ascii="黑体" w:hAnsi="黑体" w:eastAsia="黑体" w:cs="方正小标宋_GBK"/>
          <w:color w:val="000000"/>
          <w:sz w:val="32"/>
          <w:szCs w:val="32"/>
        </w:rPr>
        <w:t xml:space="preserve">第一章  </w:t>
      </w:r>
      <w:r>
        <w:rPr>
          <w:rFonts w:hint="eastAsia" w:ascii="黑体" w:hAnsi="黑体" w:eastAsia="黑体" w:cs="MingLiU"/>
          <w:color w:val="000000"/>
          <w:sz w:val="32"/>
          <w:szCs w:val="32"/>
        </w:rPr>
        <w:t>总</w:t>
      </w:r>
      <w:r>
        <w:rPr>
          <w:rFonts w:hint="eastAsia" w:ascii="黑体" w:hAnsi="黑体" w:eastAsia="黑体" w:cs="MingLiU"/>
          <w:color w:val="000000"/>
          <w:sz w:val="32"/>
          <w:szCs w:val="32"/>
          <w:lang w:val="en-US" w:eastAsia="zh-CN"/>
        </w:rPr>
        <w:t xml:space="preserve">    </w:t>
      </w:r>
      <w:r>
        <w:rPr>
          <w:rFonts w:hint="eastAsia" w:ascii="黑体" w:hAnsi="黑体" w:eastAsia="黑体" w:cs="MingLiU"/>
          <w:color w:val="000000"/>
          <w:sz w:val="32"/>
          <w:szCs w:val="32"/>
        </w:rPr>
        <w:t>则</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黑体" w:hAnsi="黑体" w:eastAsia="黑体" w:cs="Times New Roman"/>
          <w:sz w:val="32"/>
          <w:szCs w:val="32"/>
        </w:rPr>
      </w:pP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hint="eastAsia" w:ascii="黑体" w:hAnsi="黑体" w:eastAsia="黑体" w:cs="Times New Roman"/>
          <w:sz w:val="32"/>
          <w:szCs w:val="32"/>
        </w:rPr>
        <w:t xml:space="preserve">第一条【立法目的】 </w:t>
      </w:r>
      <w:r>
        <w:rPr>
          <w:rFonts w:hint="eastAsia" w:ascii="仿宋_GB2312" w:hAnsi="宋体" w:eastAsia="仿宋_GB2312" w:cs="楷体"/>
          <w:sz w:val="32"/>
          <w:szCs w:val="32"/>
        </w:rPr>
        <w:t>为了规范和加强征兵工作，根据《中华人民共和国兵役法》和《征兵工作条例》以及有关法律、</w:t>
      </w:r>
      <w:r>
        <w:rPr>
          <w:rFonts w:hint="eastAsia" w:ascii="仿宋_GB2312" w:hAnsi="宋体" w:eastAsia="仿宋_GB2312" w:cs="楷体"/>
          <w:sz w:val="32"/>
          <w:szCs w:val="32"/>
          <w:lang w:eastAsia="zh-CN"/>
        </w:rPr>
        <w:t>行政</w:t>
      </w:r>
      <w:r>
        <w:rPr>
          <w:rFonts w:hint="eastAsia" w:ascii="仿宋_GB2312" w:hAnsi="宋体" w:eastAsia="仿宋_GB2312" w:cs="楷体"/>
          <w:sz w:val="32"/>
          <w:szCs w:val="32"/>
        </w:rPr>
        <w:t>法规，结合本省实际，制定本条例。</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 xml:space="preserve">第二条【指导思想】 </w:t>
      </w:r>
      <w:r>
        <w:rPr>
          <w:rFonts w:hint="eastAsia" w:ascii="仿宋_GB2312" w:hAnsi="宋体" w:eastAsia="仿宋_GB2312" w:cs="楷体"/>
          <w:sz w:val="32"/>
          <w:szCs w:val="32"/>
        </w:rPr>
        <w:t>征兵工作坚持中国共产党的领导，贯彻习近平强军思想，贯彻新时代军事战略方针，服从国防需要，聚焦备战打仗，依法、精准、高效征集高素质兵员。</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 xml:space="preserve">第三条【适用范围】 </w:t>
      </w:r>
      <w:r>
        <w:rPr>
          <w:rFonts w:hint="eastAsia" w:ascii="仿宋_GB2312" w:hAnsi="宋体" w:eastAsia="仿宋_GB2312" w:cs="楷体"/>
          <w:sz w:val="32"/>
          <w:szCs w:val="32"/>
        </w:rPr>
        <w:t>本条例适用于本省行政区域内征兵工作。</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highlight w:val="none"/>
        </w:rPr>
      </w:pPr>
      <w:r>
        <w:rPr>
          <w:rFonts w:hint="eastAsia" w:ascii="黑体" w:hAnsi="黑体" w:eastAsia="黑体" w:cs="Times New Roman"/>
          <w:sz w:val="32"/>
          <w:szCs w:val="32"/>
          <w:highlight w:val="none"/>
        </w:rPr>
        <w:t xml:space="preserve">第四条【征兵命令】 </w:t>
      </w:r>
      <w:r>
        <w:rPr>
          <w:rFonts w:hint="eastAsia" w:ascii="仿宋_GB2312" w:hAnsi="宋体" w:eastAsia="仿宋_GB2312" w:cs="楷体"/>
          <w:sz w:val="32"/>
          <w:szCs w:val="32"/>
          <w:highlight w:val="none"/>
        </w:rPr>
        <w:t>省人民政府、省军区依照国务院、中央军事委员会的征兵命令确定每年征兵人数、次数、时间和要求。</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highlight w:val="none"/>
        </w:rPr>
      </w:pPr>
      <w:r>
        <w:rPr>
          <w:rFonts w:hint="eastAsia" w:ascii="仿宋_GB2312" w:hAnsi="宋体" w:eastAsia="仿宋_GB2312" w:cs="楷体"/>
          <w:sz w:val="32"/>
          <w:szCs w:val="32"/>
          <w:highlight w:val="none"/>
        </w:rPr>
        <w:t>县级以上人民政府和同级军事机关根据上级的征兵命令，科学分配征兵任务，下达本级征兵命令，部署和组织实施</w:t>
      </w:r>
      <w:r>
        <w:rPr>
          <w:rFonts w:hint="eastAsia" w:ascii="仿宋_GB2312" w:hAnsi="宋体" w:eastAsia="仿宋_GB2312" w:cs="楷体"/>
          <w:sz w:val="32"/>
          <w:szCs w:val="32"/>
          <w:highlight w:val="none"/>
          <w:lang w:eastAsia="zh-CN"/>
        </w:rPr>
        <w:t>本行政区域</w:t>
      </w:r>
      <w:r>
        <w:rPr>
          <w:rFonts w:hint="eastAsia" w:ascii="仿宋_GB2312" w:hAnsi="宋体" w:eastAsia="仿宋_GB2312" w:cs="楷体"/>
          <w:sz w:val="32"/>
          <w:szCs w:val="32"/>
          <w:highlight w:val="none"/>
        </w:rPr>
        <w:t>的征兵工作。</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highlight w:val="none"/>
        </w:rPr>
      </w:pPr>
      <w:r>
        <w:rPr>
          <w:rFonts w:hint="eastAsia" w:ascii="仿宋_GB2312" w:hAnsi="宋体" w:eastAsia="仿宋_GB2312" w:cs="楷体"/>
          <w:sz w:val="32"/>
          <w:szCs w:val="32"/>
          <w:highlight w:val="none"/>
        </w:rPr>
        <w:t>县级以上人民政府和同级军事机关建立健全征兵任务统筹机制，根据备战打仗需要、兵员潜力分布、严重灾害影响等因素，合理调整征兵任务。</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highlight w:val="none"/>
        </w:rPr>
      </w:pPr>
      <w:r>
        <w:rPr>
          <w:rFonts w:hint="eastAsia" w:ascii="黑体" w:hAnsi="黑体" w:eastAsia="黑体" w:cs="Times New Roman"/>
          <w:sz w:val="32"/>
          <w:szCs w:val="32"/>
          <w:highlight w:val="none"/>
        </w:rPr>
        <w:t xml:space="preserve">第五条【征兵宣传】 </w:t>
      </w:r>
      <w:r>
        <w:rPr>
          <w:rFonts w:hint="eastAsia" w:ascii="仿宋_GB2312" w:hAnsi="宋体" w:eastAsia="仿宋_GB2312" w:cs="楷体"/>
          <w:sz w:val="32"/>
          <w:szCs w:val="32"/>
          <w:highlight w:val="none"/>
        </w:rPr>
        <w:t>县级以上人民政府应当将征兵宣传教育纳入国防教育和法制宣传教育规划。机关、团体、企业事业组织应当深入开展爱国主义、革命英雄主义、军队光荣历史和服役光荣的教育，增强公民国防观念和依法服兵役意识。</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highlight w:val="none"/>
        </w:rPr>
      </w:pPr>
      <w:r>
        <w:rPr>
          <w:rFonts w:hint="eastAsia" w:ascii="仿宋_GB2312" w:hAnsi="宋体" w:eastAsia="仿宋_GB2312" w:cs="楷体"/>
          <w:sz w:val="32"/>
          <w:szCs w:val="32"/>
          <w:highlight w:val="none"/>
          <w:lang w:eastAsia="zh-CN"/>
        </w:rPr>
        <w:t>报刊杂志、电视广播、网络媒体、移动通信、电影院线、公交视讯和户外广告牌等媒体资源应当</w:t>
      </w:r>
      <w:r>
        <w:rPr>
          <w:rFonts w:hint="eastAsia" w:ascii="仿宋_GB2312" w:hAnsi="宋体" w:eastAsia="仿宋_GB2312" w:cs="楷体"/>
          <w:sz w:val="32"/>
          <w:szCs w:val="32"/>
          <w:highlight w:val="none"/>
        </w:rPr>
        <w:t>开展公益性征兵宣传。</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highlight w:val="none"/>
        </w:rPr>
        <w:t xml:space="preserve">第六条【监督考评】 </w:t>
      </w:r>
      <w:r>
        <w:rPr>
          <w:rFonts w:hint="eastAsia" w:ascii="仿宋_GB2312" w:hAnsi="宋体" w:eastAsia="仿宋_GB2312" w:cs="楷体"/>
          <w:sz w:val="32"/>
          <w:szCs w:val="32"/>
          <w:highlight w:val="none"/>
        </w:rPr>
        <w:t>县级以上人民政府兵役机关应当会同有关部门加强对</w:t>
      </w:r>
      <w:r>
        <w:rPr>
          <w:rFonts w:hint="eastAsia" w:ascii="仿宋_GB2312" w:hAnsi="宋体" w:eastAsia="仿宋_GB2312" w:cs="楷体"/>
          <w:sz w:val="32"/>
          <w:szCs w:val="32"/>
          <w:highlight w:val="none"/>
          <w:lang w:eastAsia="zh-CN"/>
        </w:rPr>
        <w:t>本行政区域</w:t>
      </w:r>
      <w:r>
        <w:rPr>
          <w:rFonts w:hint="eastAsia" w:ascii="仿宋_GB2312" w:hAnsi="宋体" w:eastAsia="仿宋_GB2312" w:cs="楷体"/>
          <w:sz w:val="32"/>
          <w:szCs w:val="32"/>
          <w:highlight w:val="none"/>
        </w:rPr>
        <w:t>内征兵工作的监督检查。县级以上人民政府和同级军事机关应当将征兵工作情况作为拥军优属、拥政爱民评比和有关单位及其负责人考核评价的内容。对在征兵工作中作出突出贡献的组织和个人，按照国家</w:t>
      </w:r>
      <w:r>
        <w:rPr>
          <w:rFonts w:hint="eastAsia" w:ascii="仿宋_GB2312" w:hAnsi="宋体" w:eastAsia="仿宋_GB2312" w:cs="楷体"/>
          <w:sz w:val="32"/>
          <w:szCs w:val="32"/>
          <w:highlight w:val="none"/>
          <w:lang w:eastAsia="zh-CN"/>
        </w:rPr>
        <w:t>、军队</w:t>
      </w:r>
      <w:r>
        <w:rPr>
          <w:rFonts w:hint="eastAsia" w:ascii="仿宋_GB2312" w:hAnsi="宋体" w:eastAsia="仿宋_GB2312" w:cs="楷体"/>
          <w:sz w:val="32"/>
          <w:szCs w:val="32"/>
          <w:highlight w:val="none"/>
        </w:rPr>
        <w:t>和</w:t>
      </w:r>
      <w:r>
        <w:rPr>
          <w:rFonts w:hint="eastAsia" w:ascii="仿宋_GB2312" w:hAnsi="宋体" w:eastAsia="仿宋_GB2312" w:cs="楷体"/>
          <w:sz w:val="32"/>
          <w:szCs w:val="32"/>
          <w:highlight w:val="none"/>
          <w:lang w:eastAsia="zh-CN"/>
        </w:rPr>
        <w:t>本</w:t>
      </w:r>
      <w:r>
        <w:rPr>
          <w:rFonts w:hint="eastAsia" w:ascii="仿宋_GB2312" w:hAnsi="宋体" w:eastAsia="仿宋_GB2312" w:cs="楷体"/>
          <w:sz w:val="32"/>
          <w:szCs w:val="32"/>
          <w:highlight w:val="none"/>
        </w:rPr>
        <w:t>省有关</w:t>
      </w:r>
      <w:r>
        <w:rPr>
          <w:rFonts w:hint="eastAsia" w:ascii="仿宋_GB2312" w:hAnsi="宋体" w:eastAsia="仿宋_GB2312" w:cs="楷体"/>
          <w:sz w:val="32"/>
          <w:szCs w:val="32"/>
        </w:rPr>
        <w:t>规定给予表彰、奖励。</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机关、团体、企业事业组织和</w:t>
      </w:r>
      <w:r>
        <w:rPr>
          <w:rFonts w:hint="eastAsia" w:ascii="仿宋_GB2312" w:hAnsi="宋体" w:eastAsia="仿宋_GB2312" w:cs="楷体"/>
          <w:sz w:val="32"/>
          <w:szCs w:val="32"/>
          <w:lang w:eastAsia="zh-CN"/>
        </w:rPr>
        <w:t>乡镇</w:t>
      </w:r>
      <w:r>
        <w:rPr>
          <w:rFonts w:hint="eastAsia" w:ascii="仿宋_GB2312" w:hAnsi="宋体" w:eastAsia="仿宋_GB2312" w:cs="楷体"/>
          <w:sz w:val="32"/>
          <w:szCs w:val="32"/>
        </w:rPr>
        <w:t>人民政府以及街道办事处可以制定相关措施，对在征兵工作中表现突出的组织和个人实施表扬和奖励。</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hint="eastAsia" w:ascii="黑体" w:hAnsi="黑体" w:eastAsia="黑体" w:cs="Times New Roman"/>
          <w:sz w:val="32"/>
          <w:szCs w:val="32"/>
        </w:rPr>
        <w:t xml:space="preserve">第七条【信息化建设】 </w:t>
      </w:r>
      <w:r>
        <w:rPr>
          <w:rFonts w:hint="eastAsia" w:ascii="仿宋_GB2312" w:hAnsi="宋体" w:eastAsia="仿宋_GB2312" w:cs="楷体"/>
          <w:sz w:val="32"/>
          <w:szCs w:val="32"/>
        </w:rPr>
        <w:t>县级以上人民政府和同级军事机关根据国家和军队总体规划，加强</w:t>
      </w:r>
      <w:r>
        <w:rPr>
          <w:rFonts w:hint="eastAsia" w:ascii="仿宋_GB2312" w:hAnsi="宋体" w:eastAsia="仿宋_GB2312" w:cs="楷体"/>
          <w:sz w:val="32"/>
          <w:szCs w:val="32"/>
          <w:lang w:eastAsia="zh-CN"/>
        </w:rPr>
        <w:t>本行政区域</w:t>
      </w:r>
      <w:r>
        <w:rPr>
          <w:rFonts w:hint="eastAsia" w:ascii="仿宋_GB2312" w:hAnsi="宋体" w:eastAsia="仿宋_GB2312" w:cs="楷体"/>
          <w:sz w:val="32"/>
          <w:szCs w:val="32"/>
        </w:rPr>
        <w:t>征兵信息化建设。</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p>
    <w:p>
      <w:pPr>
        <w:pStyle w:val="61"/>
        <w:keepNext w:val="0"/>
        <w:keepLines w:val="0"/>
        <w:pageBreakBefore w:val="0"/>
        <w:kinsoku/>
        <w:wordWrap/>
        <w:topLinePunct w:val="0"/>
        <w:autoSpaceDE/>
        <w:autoSpaceDN/>
        <w:bidi w:val="0"/>
        <w:spacing w:line="579"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第二章  机构与职责</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黑体" w:hAnsi="黑体" w:eastAsia="黑体"/>
          <w:color w:val="000000"/>
          <w:sz w:val="32"/>
          <w:szCs w:val="32"/>
        </w:rPr>
      </w:pP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第八条【组织领导】</w:t>
      </w:r>
      <w:r>
        <w:rPr>
          <w:rFonts w:hint="eastAsia" w:ascii="仿宋_GB2312" w:hAnsi="仿宋_GB2312" w:eastAsia="仿宋_GB2312" w:cs="仿宋_GB2312"/>
          <w:color w:val="000000"/>
          <w:sz w:val="32"/>
          <w:szCs w:val="32"/>
        </w:rPr>
        <w:t xml:space="preserve"> 全省的征兵工作，在省人民政府、省军区的领导下进行。</w:t>
      </w:r>
      <w:r>
        <w:rPr>
          <w:rFonts w:hint="eastAsia" w:ascii="仿宋_GB2312" w:hAnsi="仿宋_GB2312" w:eastAsia="仿宋_GB2312" w:cs="仿宋_GB2312"/>
          <w:color w:val="000000"/>
          <w:sz w:val="32"/>
          <w:szCs w:val="32"/>
          <w:lang w:eastAsia="zh-CN"/>
        </w:rPr>
        <w:t>县级以上人民政府</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lang w:eastAsia="zh-CN"/>
        </w:rPr>
        <w:t>同级</w:t>
      </w:r>
      <w:r>
        <w:rPr>
          <w:rFonts w:hint="eastAsia" w:ascii="仿宋_GB2312" w:hAnsi="仿宋_GB2312" w:eastAsia="仿宋_GB2312" w:cs="仿宋_GB2312"/>
          <w:color w:val="000000"/>
          <w:sz w:val="32"/>
          <w:szCs w:val="32"/>
        </w:rPr>
        <w:t>军事机关负责本区域的征兵工作。省、市、县</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级应当成立由宣传、网信、教育、公安、财政、人力资源和社会保障、交通运输、卫生健康、退役军人工作等有关部门组成的征兵工作领导机构，负责统筹协调</w:t>
      </w:r>
      <w:r>
        <w:rPr>
          <w:rFonts w:hint="eastAsia" w:ascii="仿宋_GB2312" w:hAnsi="仿宋_GB2312" w:eastAsia="仿宋_GB2312" w:cs="仿宋_GB2312"/>
          <w:color w:val="000000"/>
          <w:sz w:val="32"/>
          <w:szCs w:val="32"/>
          <w:lang w:eastAsia="zh-CN"/>
        </w:rPr>
        <w:t>本行政区域</w:t>
      </w:r>
      <w:r>
        <w:rPr>
          <w:rFonts w:hint="eastAsia" w:ascii="仿宋_GB2312" w:hAnsi="仿宋_GB2312" w:eastAsia="仿宋_GB2312" w:cs="仿宋_GB2312"/>
          <w:color w:val="000000"/>
          <w:sz w:val="32"/>
          <w:szCs w:val="32"/>
        </w:rPr>
        <w:t>的征兵工作，县级以上人民政府组织征兵工作领导机构成员单位组成征兵办公室，负责组织实施</w:t>
      </w:r>
      <w:r>
        <w:rPr>
          <w:rFonts w:hint="eastAsia" w:ascii="仿宋_GB2312" w:hAnsi="仿宋_GB2312" w:eastAsia="仿宋_GB2312" w:cs="仿宋_GB2312"/>
          <w:color w:val="000000"/>
          <w:sz w:val="32"/>
          <w:szCs w:val="32"/>
          <w:lang w:eastAsia="zh-CN"/>
        </w:rPr>
        <w:t>本行政区域</w:t>
      </w:r>
      <w:r>
        <w:rPr>
          <w:rFonts w:hint="eastAsia" w:ascii="仿宋_GB2312" w:hAnsi="仿宋_GB2312" w:eastAsia="仿宋_GB2312" w:cs="仿宋_GB2312"/>
          <w:color w:val="000000"/>
          <w:sz w:val="32"/>
          <w:szCs w:val="32"/>
        </w:rPr>
        <w:t>的征兵工作，承担本级征兵工作领导机构日常工作。</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县级以上人民政府征兵办公室应当适时调整充实工作人员，建立军地集中办公制度，加强本级征兵办公室和服务站规范化建设。</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hint="eastAsia" w:ascii="黑体" w:hAnsi="黑体" w:eastAsia="黑体" w:cs="Times New Roman"/>
          <w:sz w:val="32"/>
          <w:szCs w:val="32"/>
        </w:rPr>
        <w:t xml:space="preserve">第九条【办公室职责】 </w:t>
      </w:r>
      <w:r>
        <w:rPr>
          <w:rFonts w:hint="eastAsia" w:ascii="仿宋_GB2312" w:hAnsi="宋体" w:eastAsia="仿宋_GB2312" w:cs="楷体"/>
          <w:sz w:val="32"/>
          <w:szCs w:val="32"/>
        </w:rPr>
        <w:t>县级以上人民政府征兵办公室主要职责是：</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（一）宣传、实施有关征兵工作的法律、法规和政策；</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（二）制定征兵准备、征兵宣传、政治考核、役前教育、审定新兵、交接运输等计划方案，并组织实施；</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（三）会同有关部门加强廉洁征兵建设，组织征兵工作检查；</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（四）接受和处理征兵中的来信来访；</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（五）开展征兵工作总结；</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（六）办理征兵工作其他事项。</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sz w:val="32"/>
          <w:szCs w:val="32"/>
        </w:rPr>
        <w:t xml:space="preserve">第十条【部门职责】 </w:t>
      </w:r>
      <w:r>
        <w:rPr>
          <w:rFonts w:hint="eastAsia" w:ascii="仿宋_GB2312" w:hAnsi="宋体" w:eastAsia="仿宋_GB2312" w:cs="楷体"/>
          <w:sz w:val="32"/>
          <w:szCs w:val="32"/>
        </w:rPr>
        <w:t xml:space="preserve">兵役机关和有关部门在本级征兵办公室的统一组织下，按照下列职责分工做好征兵有关工作： </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hint="eastAsia" w:ascii="仿宋_GB2312" w:hAnsi="宋体" w:eastAsia="仿宋_GB2312" w:cs="楷体"/>
          <w:sz w:val="32"/>
          <w:szCs w:val="32"/>
        </w:rPr>
        <w:t>（一）兵役机关负责</w:t>
      </w:r>
      <w:r>
        <w:rPr>
          <w:rFonts w:hint="eastAsia" w:ascii="仿宋_GB2312" w:hAnsi="宋体" w:eastAsia="仿宋_GB2312" w:cs="楷体"/>
          <w:sz w:val="32"/>
          <w:szCs w:val="32"/>
          <w:lang w:eastAsia="zh-CN"/>
        </w:rPr>
        <w:t>本行政区域</w:t>
      </w:r>
      <w:r>
        <w:rPr>
          <w:rFonts w:hint="eastAsia" w:ascii="仿宋_GB2312" w:hAnsi="宋体" w:eastAsia="仿宋_GB2312" w:cs="楷体"/>
          <w:sz w:val="32"/>
          <w:szCs w:val="32"/>
        </w:rPr>
        <w:t>征兵工作的计划、组织、督导、落实；</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（二）宣传部门</w:t>
      </w:r>
      <w:r>
        <w:rPr>
          <w:rFonts w:hint="eastAsia" w:ascii="仿宋_GB2312" w:hAnsi="宋体" w:eastAsia="仿宋_GB2312" w:cs="楷体"/>
          <w:sz w:val="32"/>
          <w:szCs w:val="32"/>
          <w:lang w:eastAsia="zh-CN"/>
        </w:rPr>
        <w:t>主要</w:t>
      </w:r>
      <w:r>
        <w:rPr>
          <w:rFonts w:hint="eastAsia" w:ascii="仿宋_GB2312" w:hAnsi="宋体" w:eastAsia="仿宋_GB2312" w:cs="楷体"/>
          <w:sz w:val="32"/>
          <w:szCs w:val="32"/>
          <w:lang w:val="en-US" w:eastAsia="zh-CN"/>
        </w:rPr>
        <w:t>负责统筹宣传资源，</w:t>
      </w:r>
      <w:r>
        <w:rPr>
          <w:rFonts w:hint="eastAsia" w:ascii="仿宋_GB2312" w:hAnsi="宋体" w:eastAsia="仿宋_GB2312" w:cs="楷体"/>
          <w:sz w:val="32"/>
          <w:szCs w:val="32"/>
        </w:rPr>
        <w:t>开展征兵宣传活动，宣扬征兵和参军先进典型，积极做好舆论引导，营造浓厚参军氛围；</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（三）网信部门</w:t>
      </w:r>
      <w:r>
        <w:rPr>
          <w:rFonts w:hint="eastAsia" w:ascii="仿宋_GB2312" w:hAnsi="宋体" w:eastAsia="仿宋_GB2312" w:cs="楷体"/>
          <w:sz w:val="32"/>
          <w:szCs w:val="32"/>
          <w:lang w:eastAsia="zh-CN"/>
        </w:rPr>
        <w:t>主要</w:t>
      </w:r>
      <w:r>
        <w:rPr>
          <w:rFonts w:hint="eastAsia" w:ascii="仿宋_GB2312" w:hAnsi="宋体" w:eastAsia="仿宋_GB2312" w:cs="楷体"/>
          <w:sz w:val="32"/>
          <w:szCs w:val="32"/>
          <w:lang w:val="en-US" w:eastAsia="zh-CN"/>
        </w:rPr>
        <w:t>负责征兵工作舆情</w:t>
      </w:r>
      <w:r>
        <w:rPr>
          <w:rFonts w:hint="eastAsia" w:ascii="仿宋_GB2312" w:hAnsi="宋体" w:eastAsia="仿宋_GB2312" w:cs="楷体"/>
          <w:sz w:val="32"/>
          <w:szCs w:val="32"/>
        </w:rPr>
        <w:t>监测</w:t>
      </w:r>
      <w:r>
        <w:rPr>
          <w:rFonts w:hint="eastAsia" w:ascii="仿宋_GB2312" w:hAnsi="宋体" w:eastAsia="仿宋_GB2312" w:cs="楷体"/>
          <w:sz w:val="32"/>
          <w:szCs w:val="32"/>
          <w:lang w:eastAsia="zh-CN"/>
        </w:rPr>
        <w:t>，配合做好</w:t>
      </w:r>
      <w:r>
        <w:rPr>
          <w:rFonts w:hint="eastAsia" w:ascii="仿宋_GB2312" w:hAnsi="宋体" w:eastAsia="仿宋_GB2312" w:cs="楷体"/>
          <w:sz w:val="32"/>
          <w:szCs w:val="32"/>
        </w:rPr>
        <w:t>征兵舆情处置；</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ascii="仿宋_GB2312" w:hAnsi="宋体" w:eastAsia="仿宋_GB2312" w:cs="楷体"/>
          <w:sz w:val="32"/>
          <w:szCs w:val="32"/>
        </w:rPr>
        <w:t>（四）教育部门</w:t>
      </w:r>
      <w:r>
        <w:rPr>
          <w:rFonts w:hint="eastAsia" w:ascii="仿宋_GB2312" w:hAnsi="宋体" w:eastAsia="仿宋_GB2312" w:cs="楷体"/>
          <w:sz w:val="32"/>
          <w:szCs w:val="32"/>
          <w:lang w:eastAsia="zh-CN"/>
        </w:rPr>
        <w:t>主要负责</w:t>
      </w:r>
      <w:r>
        <w:rPr>
          <w:rFonts w:ascii="仿宋_GB2312" w:hAnsi="宋体" w:eastAsia="仿宋_GB2312" w:cs="楷体"/>
          <w:sz w:val="32"/>
          <w:szCs w:val="32"/>
        </w:rPr>
        <w:t>做好大学生征兵工作</w:t>
      </w:r>
      <w:r>
        <w:rPr>
          <w:rFonts w:hint="eastAsia" w:ascii="仿宋_GB2312" w:hAnsi="宋体" w:eastAsia="仿宋_GB2312" w:cs="楷体"/>
          <w:sz w:val="32"/>
          <w:szCs w:val="32"/>
          <w:lang w:eastAsia="zh-CN"/>
        </w:rPr>
        <w:t>，</w:t>
      </w:r>
      <w:r>
        <w:rPr>
          <w:rFonts w:ascii="仿宋_GB2312" w:hAnsi="宋体" w:eastAsia="仿宋_GB2312" w:cs="楷体"/>
          <w:sz w:val="32"/>
          <w:szCs w:val="32"/>
        </w:rPr>
        <w:t>落实国家教育资助、退役复学等大学生入伍优惠政策，指导各级各类学校加强征兵宣传，协助普通高等学校开展兵员预征预储</w:t>
      </w:r>
      <w:r>
        <w:rPr>
          <w:rFonts w:hint="eastAsia" w:ascii="仿宋_GB2312" w:hAnsi="宋体" w:eastAsia="仿宋_GB2312" w:cs="楷体"/>
          <w:sz w:val="32"/>
          <w:szCs w:val="32"/>
        </w:rPr>
        <w:t>，</w:t>
      </w:r>
      <w:r>
        <w:rPr>
          <w:rFonts w:ascii="仿宋_GB2312" w:hAnsi="宋体" w:eastAsia="仿宋_GB2312" w:cs="楷体"/>
          <w:sz w:val="32"/>
          <w:szCs w:val="32"/>
        </w:rPr>
        <w:t>做好应征公民学历信息的查验工作；</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ascii="仿宋_GB2312" w:hAnsi="宋体" w:eastAsia="仿宋_GB2312" w:cs="楷体"/>
          <w:sz w:val="32"/>
          <w:szCs w:val="32"/>
        </w:rPr>
        <w:t>（五）公安机关</w:t>
      </w:r>
      <w:r>
        <w:rPr>
          <w:rFonts w:hint="eastAsia" w:ascii="仿宋_GB2312" w:hAnsi="宋体" w:eastAsia="仿宋_GB2312" w:cs="楷体"/>
          <w:sz w:val="32"/>
          <w:szCs w:val="32"/>
        </w:rPr>
        <w:t>负责组织征兵政治考核业务培训</w:t>
      </w:r>
      <w:r>
        <w:rPr>
          <w:rFonts w:ascii="仿宋_GB2312" w:hAnsi="宋体" w:eastAsia="仿宋_GB2312" w:cs="楷体"/>
          <w:sz w:val="32"/>
          <w:szCs w:val="32"/>
        </w:rPr>
        <w:t>，向兵役机关提供</w:t>
      </w:r>
      <w:r>
        <w:rPr>
          <w:rFonts w:hint="eastAsia" w:ascii="仿宋_GB2312" w:hAnsi="宋体" w:eastAsia="仿宋_GB2312" w:cs="楷体"/>
          <w:sz w:val="32"/>
          <w:szCs w:val="32"/>
          <w:lang w:eastAsia="zh-CN"/>
        </w:rPr>
        <w:t>本行政区域</w:t>
      </w:r>
      <w:r>
        <w:rPr>
          <w:rFonts w:ascii="仿宋_GB2312" w:hAnsi="宋体" w:eastAsia="仿宋_GB2312" w:cs="楷体"/>
          <w:sz w:val="32"/>
          <w:szCs w:val="32"/>
        </w:rPr>
        <w:t>适龄男性公民数据</w:t>
      </w:r>
      <w:r>
        <w:rPr>
          <w:rFonts w:hint="eastAsia" w:ascii="仿宋_GB2312" w:hAnsi="宋体" w:eastAsia="仿宋_GB2312" w:cs="楷体"/>
          <w:sz w:val="32"/>
          <w:szCs w:val="32"/>
        </w:rPr>
        <w:t>信息，开展</w:t>
      </w:r>
      <w:r>
        <w:rPr>
          <w:rFonts w:ascii="仿宋_GB2312" w:hAnsi="宋体" w:eastAsia="仿宋_GB2312" w:cs="楷体"/>
          <w:sz w:val="32"/>
          <w:szCs w:val="32"/>
        </w:rPr>
        <w:t>应征公民政治考核和因政治原因退回人员的核查</w:t>
      </w:r>
      <w:r>
        <w:rPr>
          <w:rFonts w:hint="eastAsia" w:ascii="仿宋_GB2312" w:hAnsi="宋体" w:eastAsia="仿宋_GB2312" w:cs="楷体"/>
          <w:sz w:val="32"/>
          <w:szCs w:val="32"/>
        </w:rPr>
        <w:t>等</w:t>
      </w:r>
      <w:r>
        <w:rPr>
          <w:rFonts w:ascii="仿宋_GB2312" w:hAnsi="宋体" w:eastAsia="仿宋_GB2312" w:cs="楷体"/>
          <w:sz w:val="32"/>
          <w:szCs w:val="32"/>
        </w:rPr>
        <w:t>工作；</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（六）财政部门负责保障征兵工作所需经费；</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ascii="仿宋_GB2312" w:hAnsi="宋体" w:eastAsia="仿宋_GB2312" w:cs="楷体"/>
          <w:sz w:val="32"/>
          <w:szCs w:val="32"/>
        </w:rPr>
        <w:t>（七）人力资源和社会保障部门</w:t>
      </w:r>
      <w:r>
        <w:rPr>
          <w:rFonts w:hint="eastAsia" w:ascii="仿宋_GB2312" w:hAnsi="宋体" w:eastAsia="仿宋_GB2312" w:cs="楷体"/>
          <w:sz w:val="32"/>
          <w:szCs w:val="32"/>
          <w:lang w:eastAsia="zh-CN"/>
        </w:rPr>
        <w:t>主要负责</w:t>
      </w:r>
      <w:r>
        <w:rPr>
          <w:rFonts w:ascii="仿宋_GB2312" w:hAnsi="宋体" w:eastAsia="仿宋_GB2312" w:cs="楷体"/>
          <w:sz w:val="32"/>
          <w:szCs w:val="32"/>
        </w:rPr>
        <w:t>做好高级技工和技师学院毕业生征兵工作</w:t>
      </w:r>
      <w:r>
        <w:rPr>
          <w:rFonts w:hint="eastAsia" w:ascii="仿宋_GB2312" w:hAnsi="宋体" w:eastAsia="仿宋_GB2312" w:cs="楷体"/>
          <w:sz w:val="32"/>
          <w:szCs w:val="32"/>
        </w:rPr>
        <w:t>；协助组织</w:t>
      </w:r>
      <w:r>
        <w:rPr>
          <w:rFonts w:ascii="仿宋_GB2312" w:hAnsi="宋体" w:eastAsia="仿宋_GB2312" w:cs="楷体"/>
          <w:sz w:val="32"/>
          <w:szCs w:val="32"/>
        </w:rPr>
        <w:t>兵员预征预储</w:t>
      </w:r>
      <w:r>
        <w:rPr>
          <w:rFonts w:hint="eastAsia" w:ascii="仿宋_GB2312" w:hAnsi="宋体" w:eastAsia="仿宋_GB2312" w:cs="楷体"/>
          <w:sz w:val="32"/>
          <w:szCs w:val="32"/>
          <w:lang w:eastAsia="zh-CN"/>
        </w:rPr>
        <w:t>，做好</w:t>
      </w:r>
      <w:r>
        <w:rPr>
          <w:rFonts w:ascii="仿宋_GB2312" w:hAnsi="宋体" w:eastAsia="仿宋_GB2312" w:cs="楷体"/>
          <w:sz w:val="32"/>
          <w:szCs w:val="32"/>
        </w:rPr>
        <w:t>应征公民专业技能查验，按照有关规定将退回人员纳入社会保障体系；</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（八）交通运输部门</w:t>
      </w:r>
      <w:r>
        <w:rPr>
          <w:rFonts w:hint="eastAsia" w:ascii="仿宋_GB2312" w:hAnsi="宋体" w:eastAsia="仿宋_GB2312" w:cs="楷体"/>
          <w:sz w:val="32"/>
          <w:szCs w:val="32"/>
          <w:highlight w:val="none"/>
          <w:lang w:eastAsia="zh-CN"/>
        </w:rPr>
        <w:t>协助</w:t>
      </w:r>
      <w:r>
        <w:rPr>
          <w:rFonts w:hint="eastAsia" w:ascii="仿宋_GB2312" w:hAnsi="宋体" w:eastAsia="仿宋_GB2312" w:cs="楷体"/>
          <w:sz w:val="32"/>
          <w:szCs w:val="32"/>
          <w:highlight w:val="none"/>
        </w:rPr>
        <w:t>做</w:t>
      </w:r>
      <w:r>
        <w:rPr>
          <w:rFonts w:hint="eastAsia" w:ascii="仿宋_GB2312" w:hAnsi="宋体" w:eastAsia="仿宋_GB2312" w:cs="楷体"/>
          <w:sz w:val="32"/>
          <w:szCs w:val="32"/>
        </w:rPr>
        <w:t>好新兵运输的组织、实施和协调工作；</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ascii="仿宋_GB2312" w:hAnsi="宋体" w:eastAsia="仿宋_GB2312" w:cs="楷体"/>
          <w:sz w:val="32"/>
          <w:szCs w:val="32"/>
        </w:rPr>
        <w:t>（九）卫生健康部门负责</w:t>
      </w:r>
      <w:r>
        <w:rPr>
          <w:rFonts w:hint="eastAsia" w:ascii="仿宋_GB2312" w:hAnsi="宋体" w:eastAsia="仿宋_GB2312" w:cs="楷体"/>
          <w:sz w:val="32"/>
          <w:szCs w:val="32"/>
        </w:rPr>
        <w:t>组织征兵体检业务培训，</w:t>
      </w:r>
      <w:r>
        <w:rPr>
          <w:rFonts w:hint="eastAsia" w:ascii="仿宋_GB2312" w:hAnsi="宋体" w:eastAsia="仿宋_GB2312" w:cs="楷体"/>
          <w:sz w:val="32"/>
          <w:szCs w:val="32"/>
          <w:lang w:eastAsia="zh-CN"/>
        </w:rPr>
        <w:t>开展</w:t>
      </w:r>
      <w:r>
        <w:rPr>
          <w:rFonts w:ascii="仿宋_GB2312" w:hAnsi="宋体" w:eastAsia="仿宋_GB2312" w:cs="楷体"/>
          <w:sz w:val="32"/>
          <w:szCs w:val="32"/>
        </w:rPr>
        <w:t>应征公民体格检查、抽查</w:t>
      </w:r>
      <w:r>
        <w:rPr>
          <w:rFonts w:hint="eastAsia" w:ascii="仿宋_GB2312" w:hAnsi="宋体" w:eastAsia="仿宋_GB2312" w:cs="楷体"/>
          <w:sz w:val="32"/>
          <w:szCs w:val="32"/>
        </w:rPr>
        <w:t>和</w:t>
      </w:r>
      <w:r>
        <w:rPr>
          <w:rFonts w:ascii="仿宋_GB2312" w:hAnsi="宋体" w:eastAsia="仿宋_GB2312" w:cs="楷体"/>
          <w:sz w:val="32"/>
          <w:szCs w:val="32"/>
        </w:rPr>
        <w:t>复查，配合兵役机关做好因身体原因退回人员的协调处置</w:t>
      </w:r>
      <w:r>
        <w:rPr>
          <w:rFonts w:hint="eastAsia" w:ascii="仿宋_GB2312" w:hAnsi="宋体" w:eastAsia="仿宋_GB2312" w:cs="楷体"/>
          <w:sz w:val="32"/>
          <w:szCs w:val="32"/>
        </w:rPr>
        <w:t>等</w:t>
      </w:r>
      <w:r>
        <w:rPr>
          <w:rFonts w:ascii="仿宋_GB2312" w:hAnsi="宋体" w:eastAsia="仿宋_GB2312" w:cs="楷体"/>
          <w:sz w:val="32"/>
          <w:szCs w:val="32"/>
        </w:rPr>
        <w:t>工作；</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ascii="仿宋_GB2312" w:hAnsi="宋体" w:eastAsia="仿宋_GB2312" w:cs="楷体"/>
          <w:sz w:val="32"/>
          <w:szCs w:val="32"/>
        </w:rPr>
        <w:t>（十）退役军人工作部门负责优抚安置，</w:t>
      </w:r>
      <w:r>
        <w:rPr>
          <w:rFonts w:hint="eastAsia" w:ascii="仿宋_GB2312" w:hAnsi="宋体" w:eastAsia="仿宋_GB2312" w:cs="楷体"/>
          <w:sz w:val="32"/>
          <w:szCs w:val="32"/>
        </w:rPr>
        <w:t>义务兵家庭优待金发放，</w:t>
      </w:r>
      <w:r>
        <w:rPr>
          <w:rFonts w:ascii="仿宋_GB2312" w:hAnsi="宋体" w:eastAsia="仿宋_GB2312" w:cs="楷体"/>
          <w:sz w:val="32"/>
          <w:szCs w:val="32"/>
        </w:rPr>
        <w:t>退役士兵就业创业扶持</w:t>
      </w:r>
      <w:r>
        <w:rPr>
          <w:rFonts w:hint="eastAsia" w:ascii="仿宋_GB2312" w:hAnsi="宋体" w:eastAsia="仿宋_GB2312" w:cs="楷体"/>
          <w:sz w:val="32"/>
          <w:szCs w:val="32"/>
        </w:rPr>
        <w:t>，开展悬挂“光荣牌”、送立功喜报、重要节日慰问等拥军优抚工作</w:t>
      </w:r>
      <w:r>
        <w:rPr>
          <w:rFonts w:ascii="仿宋_GB2312" w:hAnsi="宋体" w:eastAsia="仿宋_GB2312" w:cs="楷体"/>
          <w:sz w:val="32"/>
          <w:szCs w:val="32"/>
        </w:rPr>
        <w:t>，以及协助解决新兵运输中食宿供应</w:t>
      </w:r>
      <w:r>
        <w:rPr>
          <w:rFonts w:hint="eastAsia" w:ascii="仿宋_GB2312" w:hAnsi="宋体" w:eastAsia="仿宋_GB2312" w:cs="楷体"/>
          <w:sz w:val="32"/>
          <w:szCs w:val="32"/>
        </w:rPr>
        <w:t>等工作</w:t>
      </w:r>
      <w:r>
        <w:rPr>
          <w:rFonts w:ascii="仿宋_GB2312" w:hAnsi="宋体" w:eastAsia="仿宋_GB2312" w:cs="楷体"/>
          <w:sz w:val="32"/>
          <w:szCs w:val="32"/>
        </w:rPr>
        <w:t>；</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（十一）有关部门在职责范围内</w:t>
      </w:r>
      <w:r>
        <w:rPr>
          <w:rFonts w:hint="eastAsia" w:ascii="仿宋_GB2312" w:hAnsi="宋体" w:eastAsia="仿宋_GB2312" w:cs="楷体"/>
          <w:sz w:val="32"/>
          <w:szCs w:val="32"/>
          <w:lang w:eastAsia="zh-CN"/>
        </w:rPr>
        <w:t>协助</w:t>
      </w:r>
      <w:r>
        <w:rPr>
          <w:rFonts w:hint="eastAsia" w:ascii="仿宋_GB2312" w:hAnsi="宋体" w:eastAsia="仿宋_GB2312" w:cs="楷体"/>
          <w:sz w:val="32"/>
          <w:szCs w:val="32"/>
        </w:rPr>
        <w:t>做好征兵工作。</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 xml:space="preserve">第十一条【其他单位职责】 </w:t>
      </w:r>
      <w:r>
        <w:rPr>
          <w:rFonts w:hint="eastAsia" w:ascii="仿宋_GB2312" w:hAnsi="宋体" w:eastAsia="仿宋_GB2312" w:cs="楷体"/>
          <w:sz w:val="32"/>
          <w:szCs w:val="32"/>
        </w:rPr>
        <w:t>机关、团体、企业事业组织和</w:t>
      </w:r>
      <w:r>
        <w:rPr>
          <w:rFonts w:hint="eastAsia" w:ascii="仿宋_GB2312" w:hAnsi="宋体" w:eastAsia="仿宋_GB2312" w:cs="楷体"/>
          <w:sz w:val="32"/>
          <w:szCs w:val="32"/>
          <w:lang w:eastAsia="zh-CN"/>
        </w:rPr>
        <w:t>乡镇</w:t>
      </w:r>
      <w:r>
        <w:rPr>
          <w:rFonts w:hint="eastAsia" w:ascii="仿宋_GB2312" w:hAnsi="宋体" w:eastAsia="仿宋_GB2312" w:cs="楷体"/>
          <w:sz w:val="32"/>
          <w:szCs w:val="32"/>
        </w:rPr>
        <w:t>人民政府以及街道办事处，应当根据县级以上人民政府的安排和要求，在征兵办公室组织下，办理本单位和</w:t>
      </w:r>
      <w:r>
        <w:rPr>
          <w:rFonts w:hint="eastAsia" w:ascii="仿宋_GB2312" w:hAnsi="宋体" w:eastAsia="仿宋_GB2312" w:cs="楷体"/>
          <w:sz w:val="32"/>
          <w:szCs w:val="32"/>
          <w:lang w:eastAsia="zh-CN"/>
        </w:rPr>
        <w:t>本行政区域</w:t>
      </w:r>
      <w:r>
        <w:rPr>
          <w:rFonts w:hint="eastAsia" w:ascii="仿宋_GB2312" w:hAnsi="宋体" w:eastAsia="仿宋_GB2312" w:cs="楷体"/>
          <w:sz w:val="32"/>
          <w:szCs w:val="32"/>
        </w:rPr>
        <w:t>的征兵工作。</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hint="eastAsia" w:ascii="仿宋_GB2312" w:hAnsi="宋体" w:eastAsia="仿宋_GB2312" w:cs="楷体"/>
          <w:sz w:val="32"/>
          <w:szCs w:val="32"/>
        </w:rPr>
        <w:t>普通高等学校、高级技工学校和技师学院应当加强征兵工作组织领导和征兵工作站建设，征兵工作站应当协助兵役机关办理征兵工作有关事项。</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p>
    <w:p>
      <w:pPr>
        <w:pStyle w:val="60"/>
        <w:keepNext w:val="0"/>
        <w:keepLines w:val="0"/>
        <w:pageBreakBefore w:val="0"/>
        <w:kinsoku/>
        <w:wordWrap/>
        <w:topLinePunct w:val="0"/>
        <w:autoSpaceDE/>
        <w:autoSpaceDN/>
        <w:bidi w:val="0"/>
        <w:spacing w:line="579" w:lineRule="exact"/>
        <w:ind w:firstLine="0"/>
        <w:jc w:val="center"/>
        <w:textAlignment w:val="auto"/>
        <w:rPr>
          <w:rFonts w:hint="eastAsia" w:ascii="仿宋_GB2312" w:hAnsi="宋体" w:eastAsia="仿宋_GB2312" w:cs="楷体"/>
          <w:sz w:val="32"/>
          <w:szCs w:val="32"/>
        </w:rPr>
      </w:pPr>
      <w:r>
        <w:rPr>
          <w:rFonts w:hint="eastAsia" w:ascii="黑体" w:hAnsi="黑体" w:eastAsia="黑体" w:cs="MingLiU"/>
          <w:sz w:val="32"/>
          <w:szCs w:val="32"/>
        </w:rPr>
        <w:t>第三章  征兵准备</w:t>
      </w:r>
    </w:p>
    <w:p>
      <w:pPr>
        <w:pStyle w:val="61"/>
        <w:keepNext w:val="0"/>
        <w:keepLines w:val="0"/>
        <w:pageBreakBefore w:val="0"/>
        <w:kinsoku/>
        <w:wordWrap/>
        <w:topLinePunct w:val="0"/>
        <w:autoSpaceDE/>
        <w:autoSpaceDN/>
        <w:bidi w:val="0"/>
        <w:spacing w:line="579" w:lineRule="exact"/>
        <w:ind w:left="1080"/>
        <w:textAlignment w:val="auto"/>
        <w:rPr>
          <w:color w:val="000000"/>
          <w:sz w:val="32"/>
          <w:szCs w:val="32"/>
        </w:rPr>
      </w:pP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 xml:space="preserve">第十二条【工作职责】 </w:t>
      </w:r>
      <w:r>
        <w:rPr>
          <w:rFonts w:hint="eastAsia" w:ascii="仿宋_GB2312" w:hAnsi="宋体" w:eastAsia="仿宋_GB2312" w:cs="楷体"/>
          <w:sz w:val="32"/>
          <w:szCs w:val="32"/>
        </w:rPr>
        <w:t>县级以上人民政府兵役机关负责</w:t>
      </w:r>
      <w:r>
        <w:rPr>
          <w:rFonts w:hint="eastAsia" w:ascii="仿宋_GB2312" w:hAnsi="宋体" w:eastAsia="仿宋_GB2312" w:cs="楷体"/>
          <w:sz w:val="32"/>
          <w:szCs w:val="32"/>
          <w:lang w:eastAsia="zh-CN"/>
        </w:rPr>
        <w:t>本行政区域</w:t>
      </w:r>
      <w:r>
        <w:rPr>
          <w:rFonts w:hint="eastAsia" w:ascii="仿宋_GB2312" w:hAnsi="宋体" w:eastAsia="仿宋_GB2312" w:cs="楷体"/>
          <w:sz w:val="32"/>
          <w:szCs w:val="32"/>
        </w:rPr>
        <w:t>初次兵役登记工作。</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县级人民政府兵役机关应当适时发布初次兵役登记公告，组织机关、团体、企业事业组织和乡镇人民政府以及街道办事处，对本单位和</w:t>
      </w:r>
      <w:r>
        <w:rPr>
          <w:rFonts w:hint="eastAsia" w:ascii="仿宋_GB2312" w:hAnsi="宋体" w:eastAsia="仿宋_GB2312" w:cs="楷体"/>
          <w:sz w:val="32"/>
          <w:szCs w:val="32"/>
          <w:lang w:eastAsia="zh-CN"/>
        </w:rPr>
        <w:t>本行政区域</w:t>
      </w:r>
      <w:r>
        <w:rPr>
          <w:rFonts w:hint="eastAsia" w:ascii="仿宋_GB2312" w:hAnsi="宋体" w:eastAsia="仿宋_GB2312" w:cs="楷体"/>
          <w:sz w:val="32"/>
          <w:szCs w:val="32"/>
        </w:rPr>
        <w:t>当年</w:t>
      </w:r>
      <w:r>
        <w:rPr>
          <w:rFonts w:hint="eastAsia" w:ascii="仿宋_GB2312" w:hAnsi="宋体" w:eastAsia="仿宋_GB2312" w:cs="楷体"/>
          <w:sz w:val="32"/>
          <w:szCs w:val="32"/>
          <w:lang w:val="en-US" w:eastAsia="zh-CN"/>
        </w:rPr>
        <w:t>十二</w:t>
      </w:r>
      <w:r>
        <w:rPr>
          <w:rFonts w:hint="eastAsia" w:ascii="仿宋_GB2312" w:hAnsi="宋体" w:eastAsia="仿宋_GB2312" w:cs="楷体"/>
          <w:sz w:val="32"/>
          <w:szCs w:val="32"/>
        </w:rPr>
        <w:t>月</w:t>
      </w:r>
      <w:r>
        <w:rPr>
          <w:rFonts w:hint="eastAsia" w:ascii="仿宋_GB2312" w:hAnsi="宋体" w:eastAsia="仿宋_GB2312" w:cs="楷体"/>
          <w:sz w:val="32"/>
          <w:szCs w:val="32"/>
          <w:lang w:eastAsia="zh-CN"/>
        </w:rPr>
        <w:t>三十一</w:t>
      </w:r>
      <w:r>
        <w:rPr>
          <w:rFonts w:hint="eastAsia" w:ascii="仿宋_GB2312" w:hAnsi="宋体" w:eastAsia="仿宋_GB2312" w:cs="楷体"/>
          <w:sz w:val="32"/>
          <w:szCs w:val="32"/>
        </w:rPr>
        <w:t>日以前年满</w:t>
      </w:r>
      <w:r>
        <w:rPr>
          <w:rFonts w:hint="eastAsia" w:ascii="仿宋_GB2312" w:hAnsi="宋体" w:eastAsia="仿宋_GB2312" w:cs="楷体"/>
          <w:sz w:val="32"/>
          <w:szCs w:val="32"/>
          <w:lang w:eastAsia="zh-CN"/>
        </w:rPr>
        <w:t>十八</w:t>
      </w:r>
      <w:r>
        <w:rPr>
          <w:rFonts w:hint="eastAsia" w:ascii="仿宋_GB2312" w:hAnsi="宋体" w:eastAsia="仿宋_GB2312" w:cs="楷体"/>
          <w:sz w:val="32"/>
          <w:szCs w:val="32"/>
        </w:rPr>
        <w:t>周岁的男性公民进行初次兵役登记。</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教育、公安、卫生健康、退役军人工作等有关部门应当协助兵役机关开展初次兵役登记工作。</w:t>
      </w:r>
    </w:p>
    <w:p>
      <w:pPr>
        <w:pStyle w:val="61"/>
        <w:keepNext w:val="0"/>
        <w:keepLines w:val="0"/>
        <w:pageBreakBefore w:val="0"/>
        <w:kinsoku/>
        <w:wordWrap/>
        <w:topLinePunct w:val="0"/>
        <w:autoSpaceDE/>
        <w:autoSpaceDN/>
        <w:bidi w:val="0"/>
        <w:spacing w:line="579" w:lineRule="exact"/>
        <w:ind w:firstLine="624" w:firstLineChars="200"/>
        <w:textAlignment w:val="auto"/>
        <w:rPr>
          <w:rFonts w:ascii="仿宋_GB2312" w:hAnsi="宋体" w:eastAsia="仿宋_GB2312" w:cs="楷体"/>
          <w:color w:val="000000"/>
          <w:kern w:val="0"/>
          <w:sz w:val="32"/>
          <w:szCs w:val="32"/>
        </w:rPr>
      </w:pPr>
      <w:r>
        <w:rPr>
          <w:rFonts w:hint="eastAsia" w:ascii="黑体" w:hAnsi="黑体" w:eastAsia="黑体"/>
          <w:color w:val="000000"/>
          <w:sz w:val="32"/>
          <w:szCs w:val="32"/>
        </w:rPr>
        <w:t xml:space="preserve">第十三条【基层职责】 </w:t>
      </w:r>
      <w:r>
        <w:rPr>
          <w:rFonts w:hint="eastAsia" w:ascii="仿宋_GB2312" w:hAnsi="宋体" w:eastAsia="仿宋_GB2312" w:cs="楷体"/>
          <w:color w:val="000000"/>
          <w:kern w:val="0"/>
          <w:sz w:val="32"/>
          <w:szCs w:val="32"/>
        </w:rPr>
        <w:t>机关、团体、企业事业组织和</w:t>
      </w:r>
      <w:r>
        <w:rPr>
          <w:rFonts w:hint="eastAsia" w:ascii="仿宋_GB2312" w:hAnsi="宋体" w:eastAsia="仿宋_GB2312" w:cs="楷体"/>
          <w:color w:val="000000"/>
          <w:kern w:val="0"/>
          <w:sz w:val="32"/>
          <w:szCs w:val="32"/>
          <w:lang w:eastAsia="zh-CN"/>
        </w:rPr>
        <w:t>乡镇</w:t>
      </w:r>
      <w:r>
        <w:rPr>
          <w:rFonts w:hint="eastAsia" w:ascii="仿宋_GB2312" w:hAnsi="宋体" w:eastAsia="仿宋_GB2312" w:cs="楷体"/>
          <w:color w:val="000000"/>
          <w:kern w:val="0"/>
          <w:sz w:val="32"/>
          <w:szCs w:val="32"/>
        </w:rPr>
        <w:t>人民政府以及街道办事处，应当按照县级人民政府兵役机关的要求，通知本单位和</w:t>
      </w:r>
      <w:r>
        <w:rPr>
          <w:rFonts w:hint="eastAsia" w:ascii="仿宋_GB2312" w:hAnsi="宋体" w:eastAsia="仿宋_GB2312" w:cs="楷体"/>
          <w:color w:val="000000"/>
          <w:kern w:val="0"/>
          <w:sz w:val="32"/>
          <w:szCs w:val="32"/>
          <w:lang w:eastAsia="zh-CN"/>
        </w:rPr>
        <w:t>本行政区域</w:t>
      </w:r>
      <w:r>
        <w:rPr>
          <w:rFonts w:hint="eastAsia" w:ascii="仿宋_GB2312" w:hAnsi="宋体" w:eastAsia="仿宋_GB2312" w:cs="楷体"/>
          <w:color w:val="000000"/>
          <w:kern w:val="0"/>
          <w:sz w:val="32"/>
          <w:szCs w:val="32"/>
        </w:rPr>
        <w:t>的适龄</w:t>
      </w:r>
      <w:r>
        <w:rPr>
          <w:rFonts w:hint="eastAsia" w:ascii="仿宋_GB2312" w:hAnsi="宋体" w:eastAsia="仿宋_GB2312" w:cs="楷体"/>
          <w:color w:val="000000"/>
          <w:kern w:val="0"/>
          <w:sz w:val="32"/>
          <w:szCs w:val="32"/>
          <w:lang w:eastAsia="zh-CN"/>
        </w:rPr>
        <w:t>男性</w:t>
      </w:r>
      <w:r>
        <w:rPr>
          <w:rFonts w:hint="eastAsia" w:ascii="仿宋_GB2312" w:hAnsi="宋体" w:eastAsia="仿宋_GB2312" w:cs="楷体"/>
          <w:color w:val="000000"/>
          <w:kern w:val="0"/>
          <w:sz w:val="32"/>
          <w:szCs w:val="32"/>
        </w:rPr>
        <w:t>公民按时</w:t>
      </w:r>
      <w:r>
        <w:rPr>
          <w:rFonts w:hint="eastAsia" w:ascii="仿宋_GB2312" w:hAnsi="宋体" w:eastAsia="仿宋_GB2312" w:cs="楷体"/>
          <w:color w:val="000000"/>
          <w:kern w:val="0"/>
          <w:sz w:val="32"/>
          <w:szCs w:val="32"/>
          <w:lang w:eastAsia="zh-CN"/>
        </w:rPr>
        <w:t>进行</w:t>
      </w:r>
      <w:r>
        <w:rPr>
          <w:rFonts w:hint="eastAsia" w:ascii="仿宋_GB2312" w:hAnsi="宋体" w:eastAsia="仿宋_GB2312" w:cs="楷体"/>
          <w:color w:val="000000"/>
          <w:kern w:val="0"/>
          <w:sz w:val="32"/>
          <w:szCs w:val="32"/>
        </w:rPr>
        <w:t>初次兵役登记。</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 xml:space="preserve">第十四条【登记方式】 </w:t>
      </w:r>
      <w:r>
        <w:rPr>
          <w:rFonts w:hint="eastAsia" w:ascii="仿宋_GB2312" w:hAnsi="宋体" w:eastAsia="仿宋_GB2312" w:cs="楷体"/>
          <w:sz w:val="32"/>
          <w:szCs w:val="32"/>
        </w:rPr>
        <w:t>公民初次兵役登记由其户籍所在地县级人民政府兵役机关负责，可以采取网络登记的方式进行，也可以到兵役登记站（点）现场登记。本人因身体等特殊原因不能自主完成登记的，可以委托其亲属代为登记，户籍所在地</w:t>
      </w:r>
      <w:r>
        <w:rPr>
          <w:rFonts w:hint="eastAsia" w:ascii="仿宋_GB2312" w:hAnsi="宋体" w:eastAsia="仿宋_GB2312" w:cs="楷体"/>
          <w:sz w:val="32"/>
          <w:szCs w:val="32"/>
          <w:lang w:eastAsia="zh-CN"/>
        </w:rPr>
        <w:t>乡镇</w:t>
      </w:r>
      <w:r>
        <w:rPr>
          <w:rFonts w:hint="eastAsia" w:ascii="仿宋_GB2312" w:hAnsi="宋体" w:eastAsia="仿宋_GB2312" w:cs="楷体"/>
          <w:sz w:val="32"/>
          <w:szCs w:val="32"/>
        </w:rPr>
        <w:t>人民政府以及街道办事处应当予以协助。</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sz w:val="32"/>
          <w:szCs w:val="32"/>
        </w:rPr>
        <w:t xml:space="preserve">第十五条【登记结论】 </w:t>
      </w:r>
      <w:r>
        <w:rPr>
          <w:rFonts w:hint="eastAsia" w:ascii="仿宋_GB2312" w:hAnsi="宋体" w:eastAsia="仿宋_GB2312" w:cs="楷体"/>
          <w:sz w:val="32"/>
          <w:szCs w:val="32"/>
        </w:rPr>
        <w:t>县级人民政府兵役机关对经过初次兵役登记的男性公民，依法确定应服兵役、免服兵役或者不得服兵役，在公民兵役信息中注明，并出具初次兵役登记凭证。</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根据军队需要，可以按照规定征集女性公民服现役。</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 xml:space="preserve">第十六条【核验查验】 </w:t>
      </w:r>
      <w:r>
        <w:rPr>
          <w:rFonts w:hint="eastAsia" w:ascii="仿宋_GB2312" w:hAnsi="宋体" w:eastAsia="仿宋_GB2312" w:cs="楷体"/>
          <w:sz w:val="32"/>
          <w:szCs w:val="32"/>
        </w:rPr>
        <w:t>县级人民政府兵役机关每年组织初次兵役登记信息核验，确保兵役登记及时，信息准确完整。</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兵役机关会同有关部门在办理报到入学、户籍变更、工商登记时，机关、团体、企业事业组织办理招录（聘）工作人员手续时，应当对适龄公民初次兵役登记情况进行查验；对于未登记或核验的，相关职能部门应督促其尽快履行登记核验手续，并通告当地县级人民政府兵役机关。</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sz w:val="32"/>
          <w:szCs w:val="32"/>
        </w:rPr>
        <w:t xml:space="preserve">第十七条【初考初检】 </w:t>
      </w:r>
      <w:r>
        <w:rPr>
          <w:rFonts w:hint="eastAsia" w:ascii="仿宋_GB2312" w:hAnsi="宋体" w:eastAsia="仿宋_GB2312" w:cs="楷体"/>
          <w:sz w:val="32"/>
          <w:szCs w:val="32"/>
        </w:rPr>
        <w:t>县级以上人民政府公安、卫生健康、教育等部门按照职责分工，对应征公民的思想政治、健康状况和文化程度等信息进行初步核查。</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hint="eastAsia" w:ascii="仿宋_GB2312" w:hAnsi="宋体" w:eastAsia="仿宋_GB2312" w:cs="楷体"/>
          <w:sz w:val="32"/>
          <w:szCs w:val="32"/>
        </w:rPr>
        <w:t>应征公民根据乡镇和街道办事处人民武装部（以下统称基层人民武装部）或者普通高等学校、高级技工学校和技师学院负责征兵工作机构的通知，在规定时限内按要求参加初步体检。</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 xml:space="preserve">第十八条【预征管理】 </w:t>
      </w:r>
      <w:r>
        <w:rPr>
          <w:rFonts w:hint="eastAsia" w:ascii="仿宋_GB2312" w:hAnsi="宋体" w:eastAsia="仿宋_GB2312" w:cs="楷体"/>
          <w:sz w:val="32"/>
          <w:szCs w:val="32"/>
        </w:rPr>
        <w:t>基层人民武装部和普通高等学校、高级技工学校、技师学院负责征兵工作的机构，根据初步核查、初步体检的情况择优选定应征公民为当年预定征集的对象，并加强对预定征集的应征公民的管理教育。</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预定征集的应征公民应当根据县级人民政府兵役机关的通知按时应征。</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预定征集的应征公民所在</w:t>
      </w:r>
      <w:r>
        <w:rPr>
          <w:rFonts w:hint="eastAsia" w:ascii="仿宋_GB2312" w:hAnsi="宋体" w:eastAsia="仿宋_GB2312" w:cs="楷体"/>
          <w:sz w:val="32"/>
          <w:szCs w:val="32"/>
          <w:lang w:eastAsia="zh-CN"/>
        </w:rPr>
        <w:t>的</w:t>
      </w:r>
      <w:r>
        <w:rPr>
          <w:rFonts w:hint="eastAsia" w:ascii="仿宋_GB2312" w:hAnsi="Calibri" w:eastAsia="仿宋_GB2312" w:cs="Times New Roman"/>
          <w:kern w:val="2"/>
          <w:sz w:val="32"/>
          <w:szCs w:val="32"/>
        </w:rPr>
        <w:t>机关、团体、企业事业组织</w:t>
      </w:r>
      <w:r>
        <w:rPr>
          <w:rFonts w:hint="eastAsia" w:ascii="仿宋_GB2312" w:hAnsi="宋体" w:eastAsia="仿宋_GB2312" w:cs="楷体"/>
          <w:sz w:val="32"/>
          <w:szCs w:val="32"/>
        </w:rPr>
        <w:t>应当督促其按时应征，并提供便利。</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hint="eastAsia" w:ascii="黑体" w:hAnsi="黑体" w:eastAsia="黑体" w:cs="Times New Roman"/>
          <w:sz w:val="32"/>
          <w:szCs w:val="32"/>
        </w:rPr>
        <w:t xml:space="preserve">第十九条【预征预储】 </w:t>
      </w:r>
      <w:r>
        <w:rPr>
          <w:rFonts w:hint="eastAsia" w:ascii="仿宋_GB2312" w:hAnsi="宋体" w:eastAsia="仿宋_GB2312" w:cs="楷体"/>
          <w:sz w:val="32"/>
          <w:szCs w:val="32"/>
        </w:rPr>
        <w:t>县级以上人民政府兵役机关、教育、人力资源和社会保障部门以及团委应当指导辖区普通高等学校、高级技工学校和技师学院开展兵员预征预储，具体工作由学校组织实施。</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p>
    <w:p>
      <w:pPr>
        <w:pStyle w:val="60"/>
        <w:keepNext w:val="0"/>
        <w:keepLines w:val="0"/>
        <w:pageBreakBefore w:val="0"/>
        <w:kinsoku/>
        <w:wordWrap/>
        <w:topLinePunct w:val="0"/>
        <w:autoSpaceDE/>
        <w:autoSpaceDN/>
        <w:bidi w:val="0"/>
        <w:spacing w:line="579" w:lineRule="exact"/>
        <w:ind w:firstLine="0"/>
        <w:jc w:val="center"/>
        <w:textAlignment w:val="auto"/>
        <w:rPr>
          <w:rFonts w:hint="eastAsia" w:ascii="黑体" w:hAnsi="黑体" w:eastAsia="黑体" w:cs="MingLiU"/>
          <w:sz w:val="32"/>
          <w:szCs w:val="32"/>
        </w:rPr>
      </w:pPr>
      <w:r>
        <w:rPr>
          <w:rFonts w:hint="eastAsia" w:ascii="黑体" w:hAnsi="黑体" w:eastAsia="黑体" w:cs="MingLiU"/>
          <w:sz w:val="32"/>
          <w:szCs w:val="32"/>
        </w:rPr>
        <w:t>第四章  体格检查、政治考核</w:t>
      </w:r>
    </w:p>
    <w:p>
      <w:pPr>
        <w:pStyle w:val="60"/>
        <w:keepNext w:val="0"/>
        <w:keepLines w:val="0"/>
        <w:pageBreakBefore w:val="0"/>
        <w:kinsoku/>
        <w:wordWrap/>
        <w:topLinePunct w:val="0"/>
        <w:autoSpaceDE/>
        <w:autoSpaceDN/>
        <w:bidi w:val="0"/>
        <w:spacing w:line="579" w:lineRule="exact"/>
        <w:ind w:firstLine="0"/>
        <w:jc w:val="both"/>
        <w:textAlignment w:val="auto"/>
        <w:rPr>
          <w:rFonts w:ascii="黑体" w:hAnsi="黑体" w:eastAsia="黑体" w:cs="MingLiU"/>
          <w:sz w:val="32"/>
          <w:szCs w:val="32"/>
        </w:rPr>
      </w:pP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第二十条【</w:t>
      </w:r>
      <w:r>
        <w:rPr>
          <w:rFonts w:hint="eastAsia" w:ascii="黑体" w:hAnsi="黑体" w:eastAsia="黑体" w:cs="MingLiU"/>
          <w:sz w:val="32"/>
          <w:szCs w:val="32"/>
        </w:rPr>
        <w:t>体格检查</w:t>
      </w:r>
      <w:r>
        <w:rPr>
          <w:rFonts w:hint="eastAsia" w:ascii="黑体" w:hAnsi="黑体" w:eastAsia="黑体" w:cs="Times New Roman"/>
          <w:sz w:val="32"/>
          <w:szCs w:val="32"/>
        </w:rPr>
        <w:t xml:space="preserve">任务区分】 </w:t>
      </w:r>
      <w:r>
        <w:rPr>
          <w:rFonts w:hint="eastAsia" w:ascii="仿宋_GB2312" w:hAnsi="宋体" w:eastAsia="仿宋_GB2312" w:cs="楷体"/>
          <w:sz w:val="32"/>
          <w:szCs w:val="32"/>
        </w:rPr>
        <w:t>征兵体格检查由征集地的县级以上人民政府征兵办公室统一组织，本级卫生健康行政部门具体负责实施，有关单位予以协助。</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县级以上人民政府征兵办公室应当会同同级卫生健康行政部门指定符合条件和管理要求的医院</w:t>
      </w:r>
      <w:r>
        <w:rPr>
          <w:rFonts w:hint="eastAsia" w:ascii="仿宋_GB2312" w:hAnsi="宋体" w:eastAsia="仿宋_GB2312" w:cs="楷体"/>
          <w:sz w:val="32"/>
          <w:szCs w:val="32"/>
          <w:lang w:eastAsia="zh-CN"/>
        </w:rPr>
        <w:t>或者</w:t>
      </w:r>
      <w:r>
        <w:rPr>
          <w:rFonts w:hint="eastAsia" w:ascii="仿宋_GB2312" w:hAnsi="宋体" w:eastAsia="仿宋_GB2312" w:cs="楷体"/>
          <w:sz w:val="32"/>
          <w:szCs w:val="32"/>
        </w:rPr>
        <w:t>体检机构设立征兵体检站，加强征兵体检站的建设，配齐体检设施器材，改善征兵体检站工作环境，规范体检工作秩序。</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各级卫生健康行政部门指导承担征兵体格检查任务的医院或体检机构抽调具备相应资质的医务人员，经过业务培训考核参与体格检查，会同疾病防控、医疗保障等部门，组织应征公民病史信息筛查。</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县级人民政府征兵办公室根据上级赋予的征兵任务和当地预定征集的应征公民体质情况确定送检人数，基层人民武装部和普通高等学校、高级技工学校、技师学院负责征兵工作的机构根据送检任务，确定送检人员，并组织预定征集的应征公民按时到指定的体检站进行体格检查。</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体格检查前，县级以上人民政府征兵办公室对体检对象相关信息进行现场核对。</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 xml:space="preserve">第二十一条【应征公民义务】 </w:t>
      </w:r>
      <w:r>
        <w:rPr>
          <w:rFonts w:hint="eastAsia" w:ascii="仿宋_GB2312" w:hAnsi="宋体" w:eastAsia="仿宋_GB2312" w:cs="楷体"/>
          <w:sz w:val="32"/>
          <w:szCs w:val="32"/>
        </w:rPr>
        <w:t>应征公民应当按照要求参加体格检查，并如实反映健康状况。</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 xml:space="preserve">第二十二条【抽查复查】 </w:t>
      </w:r>
      <w:r>
        <w:rPr>
          <w:rFonts w:hint="eastAsia" w:ascii="仿宋_GB2312" w:hAnsi="宋体" w:eastAsia="仿宋_GB2312" w:cs="楷体"/>
          <w:sz w:val="32"/>
          <w:szCs w:val="32"/>
        </w:rPr>
        <w:t>县级以上人民政府征兵办公室根据需要组织对体格检查合格的应征公民进行抽查</w:t>
      </w:r>
      <w:r>
        <w:rPr>
          <w:rFonts w:hint="eastAsia" w:ascii="仿宋_GB2312" w:hAnsi="宋体" w:eastAsia="仿宋_GB2312" w:cs="楷体"/>
          <w:sz w:val="32"/>
          <w:szCs w:val="32"/>
          <w:lang w:eastAsia="zh-CN"/>
        </w:rPr>
        <w:t>；</w:t>
      </w:r>
      <w:r>
        <w:rPr>
          <w:rFonts w:hint="eastAsia" w:ascii="仿宋_GB2312" w:hAnsi="宋体" w:eastAsia="仿宋_GB2312" w:cs="楷体"/>
          <w:sz w:val="32"/>
          <w:szCs w:val="32"/>
        </w:rPr>
        <w:t>抽查发现不合格人数比例较高的，应当全部进行复查。</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第二十三条【</w:t>
      </w:r>
      <w:r>
        <w:rPr>
          <w:rFonts w:hint="eastAsia" w:ascii="黑体" w:hAnsi="黑体" w:eastAsia="黑体" w:cs="MingLiU"/>
          <w:sz w:val="32"/>
          <w:szCs w:val="32"/>
        </w:rPr>
        <w:t>政治考核</w:t>
      </w:r>
      <w:r>
        <w:rPr>
          <w:rFonts w:hint="eastAsia" w:ascii="黑体" w:hAnsi="黑体" w:eastAsia="黑体" w:cs="Times New Roman"/>
          <w:sz w:val="32"/>
          <w:szCs w:val="32"/>
        </w:rPr>
        <w:t xml:space="preserve">任务区分】 </w:t>
      </w:r>
      <w:r>
        <w:rPr>
          <w:rFonts w:hint="eastAsia" w:ascii="仿宋_GB2312" w:hAnsi="宋体" w:eastAsia="仿宋_GB2312" w:cs="楷体"/>
          <w:sz w:val="32"/>
          <w:szCs w:val="32"/>
        </w:rPr>
        <w:t>征兵政治考核由县级以上人民政府征兵办公室统一组织，本级公安机关具体负责实施</w:t>
      </w:r>
      <w:r>
        <w:rPr>
          <w:rFonts w:hint="eastAsia" w:ascii="仿宋_GB2312" w:hAnsi="宋体" w:eastAsia="仿宋_GB2312" w:cs="楷体"/>
          <w:sz w:val="32"/>
          <w:szCs w:val="32"/>
          <w:lang w:eastAsia="zh-CN"/>
        </w:rPr>
        <w:t>。</w:t>
      </w:r>
      <w:r>
        <w:rPr>
          <w:rFonts w:hint="eastAsia" w:ascii="仿宋_GB2312" w:hAnsi="宋体" w:eastAsia="仿宋_GB2312" w:cs="楷体"/>
          <w:sz w:val="32"/>
          <w:szCs w:val="32"/>
        </w:rPr>
        <w:t>有关单位和公民应当予以协助和配合，如实反映情况，提供证明材料。</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 xml:space="preserve">第二十四条【工作责任】 </w:t>
      </w:r>
      <w:r>
        <w:rPr>
          <w:rFonts w:hint="eastAsia" w:ascii="仿宋_GB2312" w:hAnsi="宋体" w:eastAsia="仿宋_GB2312" w:cs="楷体"/>
          <w:sz w:val="32"/>
          <w:szCs w:val="32"/>
        </w:rPr>
        <w:t>应征公民体格检查、政治考核工作实行岗位责任制，参加体格检查和政治考核的工作人员必须严格执行国家和本省有关规定和标准，保证体格检查和政治考核工作的质量。</w:t>
      </w:r>
    </w:p>
    <w:p>
      <w:pPr>
        <w:pStyle w:val="61"/>
        <w:keepNext w:val="0"/>
        <w:keepLines w:val="0"/>
        <w:pageBreakBefore w:val="0"/>
        <w:kinsoku/>
        <w:wordWrap/>
        <w:topLinePunct w:val="0"/>
        <w:autoSpaceDE/>
        <w:autoSpaceDN/>
        <w:bidi w:val="0"/>
        <w:spacing w:line="579" w:lineRule="exact"/>
        <w:ind w:firstLine="624" w:firstLineChars="200"/>
        <w:textAlignment w:val="auto"/>
        <w:rPr>
          <w:rFonts w:ascii="仿宋_GB2312" w:hAnsi="宋体" w:eastAsia="仿宋_GB2312" w:cs="楷体"/>
          <w:color w:val="000000"/>
          <w:kern w:val="0"/>
          <w:sz w:val="32"/>
          <w:szCs w:val="32"/>
        </w:rPr>
      </w:pPr>
      <w:r>
        <w:rPr>
          <w:rFonts w:hint="eastAsia" w:ascii="黑体" w:hAnsi="黑体" w:eastAsia="黑体"/>
          <w:color w:val="000000"/>
          <w:sz w:val="32"/>
          <w:szCs w:val="32"/>
        </w:rPr>
        <w:t xml:space="preserve">第二十五条【工作人员福利待遇】 </w:t>
      </w:r>
      <w:r>
        <w:rPr>
          <w:rFonts w:hint="eastAsia" w:ascii="仿宋_GB2312" w:hAnsi="宋体" w:eastAsia="仿宋_GB2312" w:cs="楷体"/>
          <w:color w:val="000000"/>
          <w:kern w:val="0"/>
          <w:sz w:val="32"/>
          <w:szCs w:val="32"/>
        </w:rPr>
        <w:t>参加征兵体格检查和政治考核的工作人员，在从事征兵工作期间，在原单位享受的福利待遇不变。</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p>
    <w:p>
      <w:pPr>
        <w:pStyle w:val="60"/>
        <w:keepNext w:val="0"/>
        <w:keepLines w:val="0"/>
        <w:pageBreakBefore w:val="0"/>
        <w:numPr>
          <w:ilvl w:val="0"/>
          <w:numId w:val="1"/>
        </w:numPr>
        <w:kinsoku/>
        <w:wordWrap/>
        <w:topLinePunct w:val="0"/>
        <w:autoSpaceDE/>
        <w:autoSpaceDN/>
        <w:bidi w:val="0"/>
        <w:spacing w:line="579" w:lineRule="exact"/>
        <w:ind w:firstLine="0"/>
        <w:jc w:val="center"/>
        <w:textAlignment w:val="auto"/>
        <w:rPr>
          <w:rFonts w:hint="eastAsia" w:ascii="黑体" w:hAnsi="黑体" w:eastAsia="黑体" w:cs="MingLiU"/>
          <w:sz w:val="32"/>
          <w:szCs w:val="32"/>
        </w:rPr>
      </w:pPr>
      <w:r>
        <w:rPr>
          <w:rFonts w:hint="eastAsia" w:ascii="黑体" w:hAnsi="黑体" w:eastAsia="黑体" w:cs="MingLiU"/>
          <w:sz w:val="32"/>
          <w:szCs w:val="32"/>
        </w:rPr>
        <w:t xml:space="preserve"> 审定、交接运输新兵和退回处理</w:t>
      </w:r>
    </w:p>
    <w:p>
      <w:pPr>
        <w:pStyle w:val="60"/>
        <w:keepNext w:val="0"/>
        <w:keepLines w:val="0"/>
        <w:pageBreakBefore w:val="0"/>
        <w:numPr>
          <w:ilvl w:val="0"/>
          <w:numId w:val="0"/>
        </w:numPr>
        <w:kinsoku/>
        <w:wordWrap/>
        <w:topLinePunct w:val="0"/>
        <w:autoSpaceDE/>
        <w:autoSpaceDN/>
        <w:bidi w:val="0"/>
        <w:spacing w:line="579" w:lineRule="exact"/>
        <w:jc w:val="both"/>
        <w:textAlignment w:val="auto"/>
        <w:rPr>
          <w:rFonts w:hint="eastAsia" w:ascii="黑体" w:hAnsi="黑体" w:eastAsia="黑体" w:cs="MingLiU"/>
          <w:sz w:val="32"/>
          <w:szCs w:val="32"/>
        </w:rPr>
      </w:pP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 xml:space="preserve">第二十六条【役前教育】 </w:t>
      </w:r>
      <w:r>
        <w:rPr>
          <w:rFonts w:hint="eastAsia" w:ascii="仿宋_GB2312" w:hAnsi="宋体" w:eastAsia="仿宋_GB2312" w:cs="楷体"/>
          <w:sz w:val="32"/>
          <w:szCs w:val="32"/>
        </w:rPr>
        <w:t>县级以上人民政府征兵办公室应当在审定新兵前，集中组织体格检查合格、政治考核通过的人员进行役前教育。</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rPr>
      </w:pPr>
      <w:r>
        <w:rPr>
          <w:rFonts w:hint="eastAsia" w:ascii="仿宋_GB2312" w:hAnsi="宋体" w:eastAsia="仿宋_GB2312" w:cs="楷体"/>
          <w:sz w:val="32"/>
          <w:szCs w:val="32"/>
        </w:rPr>
        <w:t>役前教育的时间、内容、方式以及相关保障等由省人民政府征兵办公室统一规范。</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黑体" w:hAnsi="黑体" w:eastAsia="黑体" w:cs="Times New Roman"/>
          <w:sz w:val="32"/>
          <w:szCs w:val="32"/>
        </w:rPr>
        <w:t xml:space="preserve">第二十七条【审定新兵】 </w:t>
      </w:r>
      <w:r>
        <w:rPr>
          <w:rFonts w:hint="eastAsia" w:ascii="仿宋_GB2312" w:hAnsi="宋体" w:eastAsia="仿宋_GB2312" w:cs="楷体"/>
          <w:sz w:val="32"/>
          <w:szCs w:val="32"/>
        </w:rPr>
        <w:t>县级以上人民政府征兵办公室应当按照国防部征兵办公室制定的审定新兵办法，组织召开会议集体审定新兵，对体格检查合格、政治考核通过人员的军事职业适应能力、文化程度、身体和心理素质等进行分类考评、综合衡量，择优确定拟批准服现役的应征公民，并合理分配入伍去向。</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宋体" w:eastAsia="仿宋_GB2312" w:cs="楷体"/>
          <w:sz w:val="32"/>
          <w:szCs w:val="32"/>
        </w:rPr>
      </w:pPr>
      <w:r>
        <w:rPr>
          <w:rFonts w:hint="eastAsia" w:ascii="仿宋_GB2312" w:hAnsi="宋体" w:eastAsia="仿宋_GB2312" w:cs="楷体"/>
          <w:sz w:val="32"/>
          <w:szCs w:val="32"/>
        </w:rPr>
        <w:t>对本人自愿应征并且符合条件的烈士</w:t>
      </w:r>
      <w:r>
        <w:rPr>
          <w:rFonts w:hint="eastAsia" w:ascii="仿宋_GB2312" w:hAnsi="宋体" w:eastAsia="仿宋_GB2312" w:cs="楷体"/>
          <w:sz w:val="32"/>
          <w:szCs w:val="32"/>
          <w:lang w:eastAsia="zh-CN"/>
        </w:rPr>
        <w:t>、因公牺</w:t>
      </w:r>
      <w:r>
        <w:rPr>
          <w:rFonts w:hint="eastAsia" w:ascii="仿宋_GB2312" w:hAnsi="宋体" w:eastAsia="仿宋_GB2312" w:cs="楷体"/>
          <w:sz w:val="32"/>
          <w:szCs w:val="32"/>
        </w:rPr>
        <w:t>牲军人、病故军人的子女、兄弟姐妹和现役军人子女，县级以上人民政府征兵办公室应当优先批准其服现役。</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宋体" w:eastAsia="仿宋_GB2312" w:cs="楷体"/>
          <w:sz w:val="32"/>
          <w:szCs w:val="32"/>
          <w:lang w:eastAsia="zh-CN"/>
        </w:rPr>
      </w:pPr>
      <w:r>
        <w:rPr>
          <w:rFonts w:hint="eastAsia" w:ascii="仿宋_GB2312" w:hAnsi="宋体" w:eastAsia="仿宋_GB2312" w:cs="楷体"/>
          <w:sz w:val="32"/>
          <w:szCs w:val="32"/>
        </w:rPr>
        <w:t>对本人自愿应征并且符合条件的退出现役的士兵，县级以上人民政府征兵办公室可以批准其再次入伍，优先安排到原服现役单位或者同类型岗位服现役</w:t>
      </w:r>
      <w:r>
        <w:rPr>
          <w:rFonts w:hint="eastAsia" w:ascii="仿宋_GB2312" w:hAnsi="宋体" w:eastAsia="仿宋_GB2312" w:cs="楷体"/>
          <w:sz w:val="32"/>
          <w:szCs w:val="32"/>
          <w:lang w:eastAsia="zh-CN"/>
        </w:rPr>
        <w:t>；</w:t>
      </w:r>
      <w:r>
        <w:rPr>
          <w:rFonts w:hint="eastAsia" w:ascii="仿宋_GB2312" w:eastAsia="仿宋_GB2312"/>
          <w:sz w:val="32"/>
          <w:szCs w:val="32"/>
        </w:rPr>
        <w:t>具备任军士条件的，可以直接招收为军士。</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rPr>
      </w:pPr>
      <w:r>
        <w:rPr>
          <w:rFonts w:hint="eastAsia" w:ascii="黑体" w:hAnsi="黑体" w:eastAsia="黑体" w:cs="宋体"/>
          <w:color w:val="000000"/>
          <w:kern w:val="0"/>
          <w:sz w:val="32"/>
          <w:szCs w:val="32"/>
        </w:rPr>
        <w:t xml:space="preserve">第二十八条【定兵公示】 </w:t>
      </w:r>
      <w:r>
        <w:rPr>
          <w:rFonts w:hint="eastAsia" w:ascii="仿宋_GB2312" w:eastAsia="仿宋_GB2312"/>
          <w:color w:val="000000"/>
          <w:sz w:val="32"/>
          <w:szCs w:val="32"/>
        </w:rPr>
        <w:t>县级人民政府征兵办公室应当及时按规定向社会公示拟批准服现役的应征公民名单及</w:t>
      </w:r>
      <w:r>
        <w:rPr>
          <w:rFonts w:hint="eastAsia" w:ascii="仿宋_GB2312" w:eastAsia="仿宋_GB2312"/>
          <w:color w:val="000000"/>
          <w:sz w:val="32"/>
          <w:szCs w:val="32"/>
          <w:lang w:eastAsia="zh-CN"/>
        </w:rPr>
        <w:t>替</w:t>
      </w:r>
      <w:r>
        <w:rPr>
          <w:rFonts w:hint="eastAsia" w:ascii="仿宋_GB2312" w:eastAsia="仿宋_GB2312"/>
          <w:color w:val="000000"/>
          <w:sz w:val="32"/>
          <w:szCs w:val="32"/>
        </w:rPr>
        <w:t>补人员名单，公示期不少于</w:t>
      </w:r>
      <w:r>
        <w:rPr>
          <w:rFonts w:hint="eastAsia" w:ascii="仿宋_GB2312" w:eastAsia="仿宋_GB2312"/>
          <w:color w:val="000000"/>
          <w:sz w:val="32"/>
          <w:szCs w:val="32"/>
          <w:lang w:eastAsia="zh-CN"/>
        </w:rPr>
        <w:t>五</w:t>
      </w:r>
      <w:r>
        <w:rPr>
          <w:rFonts w:hint="eastAsia" w:ascii="仿宋_GB2312" w:eastAsia="仿宋_GB2312"/>
          <w:color w:val="000000"/>
          <w:sz w:val="32"/>
          <w:szCs w:val="32"/>
        </w:rPr>
        <w:t>个工作日。发现不符合服现役条件或者有违反廉洁征兵有关规定等情形的，取消入伍资格，出现的缺额从</w:t>
      </w:r>
      <w:r>
        <w:rPr>
          <w:rFonts w:hint="eastAsia" w:ascii="仿宋_GB2312" w:eastAsia="仿宋_GB2312"/>
          <w:color w:val="000000"/>
          <w:sz w:val="32"/>
          <w:szCs w:val="32"/>
          <w:lang w:eastAsia="zh-CN"/>
        </w:rPr>
        <w:t>替</w:t>
      </w:r>
      <w:r>
        <w:rPr>
          <w:rFonts w:hint="eastAsia" w:ascii="仿宋_GB2312" w:eastAsia="仿宋_GB2312"/>
          <w:color w:val="000000"/>
          <w:sz w:val="32"/>
          <w:szCs w:val="32"/>
        </w:rPr>
        <w:t>补人员名单中依次递补。</w:t>
      </w:r>
    </w:p>
    <w:p>
      <w:pPr>
        <w:keepNext w:val="0"/>
        <w:keepLines w:val="0"/>
        <w:pageBreakBefore w:val="0"/>
        <w:kinsoku/>
        <w:wordWrap/>
        <w:topLinePunct w:val="0"/>
        <w:autoSpaceDE/>
        <w:autoSpaceDN/>
        <w:bidi w:val="0"/>
        <w:spacing w:line="579" w:lineRule="exact"/>
        <w:ind w:firstLine="624"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第二十九条【交接新兵】 </w:t>
      </w:r>
      <w:r>
        <w:rPr>
          <w:rFonts w:hint="eastAsia" w:ascii="仿宋_GB2312" w:eastAsia="仿宋_GB2312"/>
          <w:color w:val="000000"/>
          <w:sz w:val="32"/>
          <w:szCs w:val="32"/>
        </w:rPr>
        <w:t>交接新兵采取兵役机关送兵、新兵自行报到以及部队派人领兵、接兵等方式进行。具体补兵区域划分、新兵交接方式、被装保障、新兵运输等事宜，由省人民政府征兵办公室与部队</w:t>
      </w:r>
      <w:r>
        <w:rPr>
          <w:rFonts w:hint="eastAsia" w:ascii="仿宋_GB2312" w:eastAsia="仿宋_GB2312"/>
          <w:color w:val="000000"/>
          <w:sz w:val="32"/>
          <w:szCs w:val="32"/>
          <w:lang w:eastAsia="zh-CN"/>
        </w:rPr>
        <w:t>军级以上单位</w:t>
      </w:r>
      <w:r>
        <w:rPr>
          <w:rFonts w:hint="eastAsia" w:ascii="仿宋_GB2312" w:eastAsia="仿宋_GB2312"/>
          <w:color w:val="000000"/>
          <w:sz w:val="32"/>
          <w:szCs w:val="32"/>
        </w:rPr>
        <w:t>协商确定。</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县级以上人民政府征兵办公室负责协调并组织实施新兵交接运输等工作。</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相关单位具体承担运输、保障的实施和安全工作。</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Calibri" w:eastAsia="仿宋_GB2312" w:cs="Times New Roman"/>
          <w:kern w:val="2"/>
          <w:sz w:val="32"/>
          <w:szCs w:val="32"/>
        </w:rPr>
      </w:pPr>
      <w:r>
        <w:rPr>
          <w:rFonts w:hint="eastAsia" w:ascii="黑体" w:hAnsi="黑体" w:eastAsia="黑体" w:cs="Times New Roman"/>
          <w:sz w:val="32"/>
          <w:szCs w:val="32"/>
        </w:rPr>
        <w:t xml:space="preserve">第三十条【欢送新兵】 </w:t>
      </w:r>
      <w:r>
        <w:rPr>
          <w:rFonts w:hint="eastAsia" w:ascii="仿宋_GB2312" w:hAnsi="Calibri" w:eastAsia="仿宋_GB2312" w:cs="Times New Roman"/>
          <w:kern w:val="2"/>
          <w:sz w:val="32"/>
          <w:szCs w:val="32"/>
        </w:rPr>
        <w:t>新兵起运时，有关地方人民政府应当组织欢送，新兵入伍前所在单位结合实际组织欢送。</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Calibri" w:eastAsia="仿宋_GB2312"/>
          <w:sz w:val="32"/>
          <w:szCs w:val="32"/>
        </w:rPr>
      </w:pPr>
      <w:r>
        <w:rPr>
          <w:rFonts w:hint="eastAsia" w:ascii="黑体" w:hAnsi="黑体" w:eastAsia="黑体"/>
          <w:sz w:val="32"/>
          <w:szCs w:val="32"/>
        </w:rPr>
        <w:t xml:space="preserve">第三十一条【退回办理】 </w:t>
      </w:r>
      <w:r>
        <w:rPr>
          <w:rFonts w:hint="eastAsia" w:ascii="仿宋_GB2312" w:hAnsi="Calibri" w:eastAsia="仿宋_GB2312"/>
          <w:sz w:val="32"/>
          <w:szCs w:val="32"/>
        </w:rPr>
        <w:t>在规定的期限内，新兵作退回处理的，由省、设区的市人民政府征兵办公室按照规定办理。</w:t>
      </w:r>
    </w:p>
    <w:p>
      <w:pPr>
        <w:keepNext w:val="0"/>
        <w:keepLines w:val="0"/>
        <w:pageBreakBefore w:val="0"/>
        <w:kinsoku/>
        <w:wordWrap/>
        <w:topLinePunct w:val="0"/>
        <w:autoSpaceDE/>
        <w:autoSpaceDN/>
        <w:bidi w:val="0"/>
        <w:spacing w:line="579" w:lineRule="exact"/>
        <w:ind w:firstLine="624"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第三十二条【退回人员保障】 </w:t>
      </w:r>
      <w:r>
        <w:rPr>
          <w:rFonts w:hint="eastAsia" w:ascii="仿宋_GB2312" w:eastAsia="仿宋_GB2312"/>
          <w:color w:val="000000"/>
          <w:sz w:val="32"/>
          <w:szCs w:val="32"/>
        </w:rPr>
        <w:t>退回人员返回原征集地后，由原征集地人民政府按照有关规定纳入社会保障体系，享受相应待遇。</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需回地方接续治疗的退回人员，由原征集地县级以上人民政府根据部队旅级以上单位出具的接续治疗函，安排相关医疗机构予以优先收治；已经参加当地基本医疗保险的，医疗费用按照规定由医保基金支付；符合医疗救助条件的，按照规定实施救助。</w:t>
      </w:r>
    </w:p>
    <w:p>
      <w:pPr>
        <w:keepNext w:val="0"/>
        <w:keepLines w:val="0"/>
        <w:pageBreakBefore w:val="0"/>
        <w:kinsoku/>
        <w:wordWrap/>
        <w:topLinePunct w:val="0"/>
        <w:autoSpaceDE/>
        <w:autoSpaceDN/>
        <w:bidi w:val="0"/>
        <w:spacing w:line="579" w:lineRule="exact"/>
        <w:ind w:firstLine="624" w:firstLineChars="200"/>
        <w:textAlignment w:val="auto"/>
        <w:rPr>
          <w:rFonts w:ascii="仿宋_GB2312" w:eastAsia="仿宋_GB2312"/>
          <w:color w:val="000000"/>
          <w:sz w:val="32"/>
          <w:szCs w:val="32"/>
        </w:rPr>
      </w:pPr>
    </w:p>
    <w:p>
      <w:pPr>
        <w:pStyle w:val="61"/>
        <w:keepNext w:val="0"/>
        <w:keepLines w:val="0"/>
        <w:pageBreakBefore w:val="0"/>
        <w:kinsoku/>
        <w:wordWrap/>
        <w:topLinePunct w:val="0"/>
        <w:autoSpaceDE/>
        <w:autoSpaceDN/>
        <w:bidi w:val="0"/>
        <w:spacing w:line="579" w:lineRule="exact"/>
        <w:jc w:val="center"/>
        <w:textAlignment w:val="auto"/>
        <w:rPr>
          <w:color w:val="000000"/>
          <w:sz w:val="32"/>
          <w:szCs w:val="32"/>
        </w:rPr>
      </w:pPr>
      <w:r>
        <w:rPr>
          <w:rFonts w:hint="eastAsia" w:ascii="黑体" w:hAnsi="黑体" w:eastAsia="黑体" w:cs="MingLiU"/>
          <w:color w:val="000000"/>
          <w:sz w:val="32"/>
          <w:szCs w:val="32"/>
        </w:rPr>
        <w:t>第六章  综合保障</w:t>
      </w:r>
    </w:p>
    <w:p>
      <w:pPr>
        <w:keepNext w:val="0"/>
        <w:keepLines w:val="0"/>
        <w:pageBreakBefore w:val="0"/>
        <w:kinsoku/>
        <w:wordWrap/>
        <w:topLinePunct w:val="0"/>
        <w:autoSpaceDE/>
        <w:autoSpaceDN/>
        <w:bidi w:val="0"/>
        <w:spacing w:line="579" w:lineRule="exact"/>
        <w:ind w:firstLine="624" w:firstLineChars="200"/>
        <w:textAlignment w:val="auto"/>
        <w:rPr>
          <w:rFonts w:hint="eastAsia" w:ascii="黑体" w:hAnsi="黑体" w:eastAsia="黑体"/>
          <w:color w:val="000000"/>
          <w:sz w:val="32"/>
          <w:szCs w:val="32"/>
        </w:rPr>
      </w:pPr>
    </w:p>
    <w:p>
      <w:pPr>
        <w:keepNext w:val="0"/>
        <w:keepLines w:val="0"/>
        <w:pageBreakBefore w:val="0"/>
        <w:kinsoku/>
        <w:wordWrap/>
        <w:topLinePunct w:val="0"/>
        <w:autoSpaceDE/>
        <w:autoSpaceDN/>
        <w:bidi w:val="0"/>
        <w:spacing w:line="579" w:lineRule="exact"/>
        <w:ind w:firstLine="624"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第三十三条【经费保障】 </w:t>
      </w:r>
      <w:r>
        <w:rPr>
          <w:rFonts w:hint="eastAsia" w:ascii="仿宋_GB2312" w:eastAsia="仿宋_GB2312"/>
          <w:color w:val="000000"/>
          <w:sz w:val="32"/>
          <w:szCs w:val="32"/>
        </w:rPr>
        <w:t>征兵工作所需经费，由省、设区的市、县列入地方预算“兵役征集费”科目。</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乡镇</w:t>
      </w:r>
      <w:r>
        <w:rPr>
          <w:rFonts w:hint="eastAsia" w:ascii="仿宋_GB2312" w:eastAsia="仿宋_GB2312"/>
          <w:color w:val="000000"/>
          <w:sz w:val="32"/>
          <w:szCs w:val="32"/>
        </w:rPr>
        <w:t>人民政府以及街道办事处的征兵工作经费应当纳入县级年度财政预算。</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兵役征集费的标准、开支范围和使用管理办法，按照有关规定执行。</w:t>
      </w:r>
    </w:p>
    <w:p>
      <w:pPr>
        <w:pStyle w:val="61"/>
        <w:keepNext w:val="0"/>
        <w:keepLines w:val="0"/>
        <w:pageBreakBefore w:val="0"/>
        <w:kinsoku/>
        <w:wordWrap/>
        <w:topLinePunct w:val="0"/>
        <w:autoSpaceDE/>
        <w:autoSpaceDN/>
        <w:bidi w:val="0"/>
        <w:spacing w:line="579" w:lineRule="exact"/>
        <w:ind w:firstLine="624" w:firstLineChars="200"/>
        <w:textAlignment w:val="auto"/>
        <w:rPr>
          <w:rFonts w:ascii="仿宋_GB2312" w:hAnsi="Calibri" w:eastAsia="仿宋_GB2312"/>
          <w:color w:val="000000"/>
          <w:sz w:val="32"/>
          <w:szCs w:val="32"/>
        </w:rPr>
      </w:pPr>
      <w:r>
        <w:rPr>
          <w:rFonts w:hint="eastAsia" w:ascii="黑体" w:hAnsi="黑体" w:eastAsia="黑体"/>
          <w:color w:val="000000"/>
          <w:sz w:val="32"/>
          <w:szCs w:val="32"/>
        </w:rPr>
        <w:t xml:space="preserve">第三十四条【购买服务】 </w:t>
      </w:r>
      <w:r>
        <w:rPr>
          <w:rFonts w:hint="eastAsia" w:ascii="仿宋_GB2312" w:hAnsi="Calibri" w:eastAsia="仿宋_GB2312"/>
          <w:color w:val="000000"/>
          <w:sz w:val="32"/>
          <w:szCs w:val="32"/>
        </w:rPr>
        <w:t>县级以上人民政府征兵办公室根据需要，按照有关规定，可以采取政府购买服务的方式，开展公共信息与宣传、法律、课题研究和社会调查、信息化、后勤等征兵辅助工作。</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Calibri" w:eastAsia="仿宋_GB2312" w:cs="Times New Roman"/>
          <w:kern w:val="2"/>
          <w:sz w:val="32"/>
          <w:szCs w:val="32"/>
        </w:rPr>
      </w:pPr>
      <w:r>
        <w:rPr>
          <w:rFonts w:hint="eastAsia" w:ascii="黑体" w:hAnsi="黑体" w:eastAsia="黑体" w:cs="Times New Roman"/>
          <w:sz w:val="32"/>
          <w:szCs w:val="32"/>
        </w:rPr>
        <w:t xml:space="preserve">第三十五条【购买保险】 </w:t>
      </w:r>
      <w:r>
        <w:rPr>
          <w:rFonts w:hint="eastAsia" w:ascii="仿宋_GB2312" w:hAnsi="Calibri" w:eastAsia="仿宋_GB2312" w:cs="Times New Roman"/>
          <w:kern w:val="2"/>
          <w:sz w:val="32"/>
          <w:szCs w:val="32"/>
        </w:rPr>
        <w:t>应征公民在体格检查、政治考核、役前教育等应征活动中，县级以上人民政府可以采取购买人身意外伤害保险等措施，为应征公民提供相应的权益保障。</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Calibri" w:eastAsia="仿宋_GB2312" w:cs="Times New Roman"/>
          <w:kern w:val="2"/>
          <w:sz w:val="32"/>
          <w:szCs w:val="32"/>
        </w:rPr>
      </w:pPr>
      <w:r>
        <w:rPr>
          <w:rFonts w:hint="eastAsia" w:ascii="黑体" w:hAnsi="黑体" w:eastAsia="黑体" w:cs="Times New Roman"/>
          <w:sz w:val="32"/>
          <w:szCs w:val="32"/>
        </w:rPr>
        <w:t xml:space="preserve">第三十六条【退役复学】 </w:t>
      </w:r>
      <w:r>
        <w:rPr>
          <w:rFonts w:hint="eastAsia" w:ascii="仿宋_GB2312" w:hAnsi="Calibri" w:eastAsia="仿宋_GB2312" w:cs="Times New Roman"/>
          <w:kern w:val="2"/>
          <w:sz w:val="32"/>
          <w:szCs w:val="32"/>
        </w:rPr>
        <w:t>已被普通高等学校录取或者正在普通高等学校就学的学生，被批准服现役的，服现役期间保留入学资格或者学籍，退出现役后两年内允许入学或者复学，免修军事技能训练直接获得学分；大学生士兵退役后入学或者复学，经学校同意并履行相关程序后，可转入本校其他专业学习。</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宋体" w:hAnsi="宋体" w:eastAsia="宋体" w:cs="楷体"/>
          <w:sz w:val="32"/>
          <w:szCs w:val="32"/>
        </w:rPr>
      </w:pPr>
      <w:r>
        <w:rPr>
          <w:rFonts w:hint="eastAsia" w:ascii="黑体" w:hAnsi="黑体" w:eastAsia="黑体" w:cs="Times New Roman"/>
          <w:sz w:val="32"/>
          <w:szCs w:val="32"/>
        </w:rPr>
        <w:t xml:space="preserve">第三十七条【优先服役】 </w:t>
      </w:r>
      <w:r>
        <w:rPr>
          <w:rFonts w:hint="eastAsia" w:ascii="仿宋_GB2312" w:hAnsi="Calibri" w:eastAsia="仿宋_GB2312" w:cs="Times New Roman"/>
          <w:kern w:val="2"/>
          <w:sz w:val="32"/>
          <w:szCs w:val="32"/>
        </w:rPr>
        <w:t>在征集期间，应征公民被征集服现役，同时被机关、团体、企业事业组织招录或者聘用的，应当优先履行服兵役义务；有关机关、团体、企业事业组织应当支持其应征入伍，有条件的应当允许其延后入职。</w:t>
      </w:r>
    </w:p>
    <w:p>
      <w:pPr>
        <w:keepNext w:val="0"/>
        <w:keepLines w:val="0"/>
        <w:pageBreakBefore w:val="0"/>
        <w:kinsoku/>
        <w:wordWrap/>
        <w:topLinePunct w:val="0"/>
        <w:autoSpaceDE/>
        <w:autoSpaceDN/>
        <w:bidi w:val="0"/>
        <w:spacing w:line="579" w:lineRule="exact"/>
        <w:ind w:firstLine="624"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第三十八条【入伍前权益保障】 </w:t>
      </w:r>
      <w:r>
        <w:rPr>
          <w:rFonts w:hint="eastAsia" w:ascii="仿宋_GB2312" w:eastAsia="仿宋_GB2312"/>
          <w:color w:val="000000"/>
          <w:sz w:val="32"/>
          <w:szCs w:val="32"/>
        </w:rPr>
        <w:t>被批准服现役的应征公民，是机关、团体、企业事业组织工作人员的，由原单位发给离职当月的全部工资、奖金及各种补贴；入伍前是机关、团体、事业单位或者国有企业工作人员的，退出现役后可以选择复职复工，服现役年限应当视为工龄；入伍前依法取得的农村土地承包经营权，服现役期间应当保留。</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当地另有其他优待规定的，可一并执行。</w:t>
      </w:r>
    </w:p>
    <w:p>
      <w:pPr>
        <w:pStyle w:val="61"/>
        <w:keepNext w:val="0"/>
        <w:keepLines w:val="0"/>
        <w:pageBreakBefore w:val="0"/>
        <w:kinsoku/>
        <w:wordWrap/>
        <w:topLinePunct w:val="0"/>
        <w:autoSpaceDE/>
        <w:autoSpaceDN/>
        <w:bidi w:val="0"/>
        <w:spacing w:line="579" w:lineRule="exact"/>
        <w:ind w:firstLine="624" w:firstLineChars="200"/>
        <w:textAlignment w:val="auto"/>
        <w:rPr>
          <w:rFonts w:ascii="仿宋_GB2312" w:hAnsi="Calibri" w:eastAsia="仿宋_GB2312"/>
          <w:color w:val="000000"/>
          <w:sz w:val="32"/>
          <w:szCs w:val="32"/>
        </w:rPr>
      </w:pPr>
      <w:r>
        <w:rPr>
          <w:rFonts w:hint="eastAsia" w:ascii="黑体" w:hAnsi="黑体" w:eastAsia="黑体"/>
          <w:color w:val="000000"/>
          <w:sz w:val="32"/>
          <w:szCs w:val="32"/>
        </w:rPr>
        <w:t xml:space="preserve">第三十九条【义务兵家庭优待金】 </w:t>
      </w:r>
      <w:r>
        <w:rPr>
          <w:rFonts w:hint="eastAsia" w:ascii="仿宋_GB2312" w:hAnsi="Calibri" w:eastAsia="仿宋_GB2312"/>
          <w:color w:val="000000"/>
          <w:sz w:val="32"/>
          <w:szCs w:val="32"/>
        </w:rPr>
        <w:t>义务兵服现役期间，其家庭享受优待金，义务兵家庭优待金实行城乡统一标准，由批准入伍地的县级人民政府按照规定发放。</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hint="eastAsia" w:ascii="仿宋_GB2312" w:hAnsi="Calibri" w:eastAsia="仿宋_GB2312" w:cs="Times New Roman"/>
          <w:kern w:val="2"/>
          <w:sz w:val="32"/>
          <w:szCs w:val="32"/>
        </w:rPr>
      </w:pPr>
      <w:r>
        <w:rPr>
          <w:rFonts w:hint="eastAsia" w:ascii="黑体" w:hAnsi="黑体" w:eastAsia="黑体" w:cs="Times New Roman"/>
          <w:sz w:val="32"/>
          <w:szCs w:val="32"/>
        </w:rPr>
        <w:t xml:space="preserve">第四十条【优抚优待】 </w:t>
      </w:r>
      <w:r>
        <w:rPr>
          <w:rFonts w:hint="eastAsia" w:ascii="仿宋_GB2312" w:hAnsi="Calibri" w:eastAsia="仿宋_GB2312" w:cs="Times New Roman"/>
          <w:kern w:val="2"/>
          <w:sz w:val="32"/>
          <w:szCs w:val="32"/>
        </w:rPr>
        <w:t>被批准服现役的应征公民，由批准入伍地的县级人民政府征兵办公室发给入伍通知书，并通知其户籍所在地的户口登记机关。应征公民服现役期间，其家属按照规定享受军属待遇。退役军人工作等有关部门凭入伍通知书或相关证明材料办理优抚优待相关手续。</w:t>
      </w: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Calibri" w:eastAsia="仿宋_GB2312" w:cs="Times New Roman"/>
          <w:kern w:val="2"/>
          <w:sz w:val="32"/>
          <w:szCs w:val="32"/>
        </w:rPr>
      </w:pPr>
    </w:p>
    <w:p>
      <w:pPr>
        <w:pStyle w:val="60"/>
        <w:keepNext w:val="0"/>
        <w:keepLines w:val="0"/>
        <w:pageBreakBefore w:val="0"/>
        <w:kinsoku/>
        <w:wordWrap/>
        <w:topLinePunct w:val="0"/>
        <w:autoSpaceDE/>
        <w:autoSpaceDN/>
        <w:bidi w:val="0"/>
        <w:spacing w:line="579" w:lineRule="exact"/>
        <w:ind w:firstLine="0"/>
        <w:jc w:val="center"/>
        <w:textAlignment w:val="auto"/>
        <w:rPr>
          <w:rFonts w:ascii="黑体" w:hAnsi="黑体" w:eastAsia="黑体" w:cs="MingLiU"/>
          <w:sz w:val="32"/>
          <w:szCs w:val="32"/>
        </w:rPr>
      </w:pPr>
      <w:r>
        <w:rPr>
          <w:rFonts w:hint="eastAsia" w:ascii="黑体" w:hAnsi="黑体" w:eastAsia="黑体" w:cs="MingLiU"/>
          <w:sz w:val="32"/>
          <w:szCs w:val="32"/>
        </w:rPr>
        <w:t>第七章  战时征集</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黑体" w:hAnsi="黑体" w:eastAsia="黑体"/>
          <w:color w:val="000000"/>
          <w:sz w:val="32"/>
          <w:szCs w:val="32"/>
        </w:rPr>
      </w:pPr>
    </w:p>
    <w:p>
      <w:pPr>
        <w:pStyle w:val="61"/>
        <w:keepNext w:val="0"/>
        <w:keepLines w:val="0"/>
        <w:pageBreakBefore w:val="0"/>
        <w:kinsoku/>
        <w:wordWrap/>
        <w:topLinePunct w:val="0"/>
        <w:autoSpaceDE/>
        <w:autoSpaceDN/>
        <w:bidi w:val="0"/>
        <w:spacing w:line="579" w:lineRule="exact"/>
        <w:ind w:firstLine="624" w:firstLineChars="200"/>
        <w:textAlignment w:val="auto"/>
        <w:rPr>
          <w:rFonts w:ascii="仿宋_GB2312" w:hAnsi="Calibri" w:eastAsia="仿宋_GB2312"/>
          <w:color w:val="000000"/>
          <w:sz w:val="32"/>
          <w:szCs w:val="32"/>
        </w:rPr>
      </w:pPr>
      <w:r>
        <w:rPr>
          <w:rFonts w:hint="eastAsia" w:ascii="黑体" w:hAnsi="黑体" w:eastAsia="黑体"/>
          <w:color w:val="000000"/>
          <w:sz w:val="32"/>
          <w:szCs w:val="32"/>
        </w:rPr>
        <w:t xml:space="preserve">第四十一条【战时征集准备】 </w:t>
      </w:r>
      <w:r>
        <w:rPr>
          <w:rFonts w:hint="eastAsia" w:ascii="仿宋_GB2312" w:hAnsi="Calibri" w:eastAsia="仿宋_GB2312"/>
          <w:color w:val="000000"/>
          <w:sz w:val="32"/>
          <w:szCs w:val="32"/>
        </w:rPr>
        <w:t>根据法律、法规，县级以上人民政府和同级军事机关，在平时必须做好战时征集的准备工作。</w:t>
      </w:r>
    </w:p>
    <w:p>
      <w:pPr>
        <w:keepNext w:val="0"/>
        <w:keepLines w:val="0"/>
        <w:pageBreakBefore w:val="0"/>
        <w:kinsoku/>
        <w:wordWrap/>
        <w:topLinePunct w:val="0"/>
        <w:autoSpaceDE/>
        <w:autoSpaceDN/>
        <w:bidi w:val="0"/>
        <w:spacing w:line="579" w:lineRule="exact"/>
        <w:ind w:firstLine="624"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第四十二条【组织实施主体】 </w:t>
      </w:r>
      <w:r>
        <w:rPr>
          <w:rFonts w:hint="eastAsia" w:ascii="仿宋_GB2312" w:eastAsia="仿宋_GB2312"/>
          <w:color w:val="000000"/>
          <w:sz w:val="32"/>
          <w:szCs w:val="32"/>
        </w:rPr>
        <w:t>国家发布动员令或者国务院、中央军事委员会依法采取国防动员措施后，县级以上人民政府和同级军事机关必须按照要求组织战时征集。</w:t>
      </w:r>
    </w:p>
    <w:p>
      <w:pPr>
        <w:keepNext w:val="0"/>
        <w:keepLines w:val="0"/>
        <w:pageBreakBefore w:val="0"/>
        <w:kinsoku/>
        <w:wordWrap/>
        <w:topLinePunct w:val="0"/>
        <w:autoSpaceDE/>
        <w:autoSpaceDN/>
        <w:bidi w:val="0"/>
        <w:spacing w:line="579" w:lineRule="exact"/>
        <w:ind w:firstLine="624" w:firstLineChars="200"/>
        <w:textAlignment w:val="auto"/>
        <w:rPr>
          <w:rFonts w:ascii="仿宋_GB2312" w:eastAsia="仿宋_GB2312"/>
          <w:color w:val="000000"/>
          <w:sz w:val="32"/>
          <w:szCs w:val="32"/>
        </w:rPr>
      </w:pPr>
      <w:r>
        <w:rPr>
          <w:rFonts w:hint="eastAsia" w:ascii="仿宋_GB2312" w:eastAsia="仿宋_GB2312"/>
          <w:color w:val="000000"/>
          <w:sz w:val="32"/>
          <w:szCs w:val="32"/>
        </w:rPr>
        <w:t>县级以上人民政府征兵办公室在国防部征兵办公室指导下，按照战时征集的条件和办法组织实施征集工作。</w:t>
      </w:r>
    </w:p>
    <w:p>
      <w:pPr>
        <w:keepNext w:val="0"/>
        <w:keepLines w:val="0"/>
        <w:pageBreakBefore w:val="0"/>
        <w:kinsoku/>
        <w:wordWrap/>
        <w:topLinePunct w:val="0"/>
        <w:autoSpaceDE/>
        <w:autoSpaceDN/>
        <w:bidi w:val="0"/>
        <w:spacing w:line="579" w:lineRule="exact"/>
        <w:ind w:firstLine="624" w:firstLineChars="200"/>
        <w:textAlignment w:val="auto"/>
        <w:rPr>
          <w:rFonts w:ascii="仿宋_GB2312" w:eastAsia="仿宋_GB2312"/>
          <w:color w:val="000000"/>
          <w:sz w:val="32"/>
          <w:szCs w:val="32"/>
        </w:rPr>
      </w:pPr>
      <w:r>
        <w:rPr>
          <w:rFonts w:hint="eastAsia" w:ascii="黑体" w:hAnsi="黑体" w:eastAsia="黑体"/>
          <w:color w:val="000000"/>
          <w:sz w:val="32"/>
          <w:szCs w:val="32"/>
        </w:rPr>
        <w:t>第四十三条【战时应征报到】</w:t>
      </w:r>
      <w:r>
        <w:rPr>
          <w:rFonts w:hint="eastAsia" w:ascii="仿宋_GB2312" w:eastAsia="仿宋_GB2312"/>
          <w:color w:val="000000"/>
          <w:sz w:val="32"/>
          <w:szCs w:val="32"/>
        </w:rPr>
        <w:t xml:space="preserve"> 应征公民接到兵役机关战时征集通知后，必须按期到指定地点参加应征。</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机关、团体、企业事业组织和</w:t>
      </w:r>
      <w:r>
        <w:rPr>
          <w:rFonts w:hint="eastAsia" w:ascii="仿宋_GB2312" w:eastAsia="仿宋_GB2312"/>
          <w:color w:val="000000"/>
          <w:sz w:val="32"/>
          <w:szCs w:val="32"/>
          <w:lang w:eastAsia="zh-CN"/>
        </w:rPr>
        <w:t>乡镇</w:t>
      </w:r>
      <w:r>
        <w:rPr>
          <w:rFonts w:hint="eastAsia" w:ascii="仿宋_GB2312" w:eastAsia="仿宋_GB2312"/>
          <w:color w:val="000000"/>
          <w:sz w:val="32"/>
          <w:szCs w:val="32"/>
        </w:rPr>
        <w:t>人民政府以及街道办事处必须组织本单位和</w:t>
      </w:r>
      <w:r>
        <w:rPr>
          <w:rFonts w:hint="eastAsia" w:ascii="仿宋_GB2312" w:eastAsia="仿宋_GB2312"/>
          <w:color w:val="000000"/>
          <w:sz w:val="32"/>
          <w:szCs w:val="32"/>
          <w:lang w:eastAsia="zh-CN"/>
        </w:rPr>
        <w:t>本行政区域</w:t>
      </w:r>
      <w:r>
        <w:rPr>
          <w:rFonts w:hint="eastAsia" w:ascii="仿宋_GB2312" w:eastAsia="仿宋_GB2312"/>
          <w:color w:val="000000"/>
          <w:sz w:val="32"/>
          <w:szCs w:val="32"/>
        </w:rPr>
        <w:t>战时征集对象，按照规定的时间、地点报到。</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从事交通运输的单位和个人，应当优先运送战时征集对象；其他组织和个人应当为战时征集对象报到提供便利。</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rPr>
      </w:pPr>
    </w:p>
    <w:p>
      <w:pPr>
        <w:pStyle w:val="61"/>
        <w:keepNext w:val="0"/>
        <w:keepLines w:val="0"/>
        <w:pageBreakBefore w:val="0"/>
        <w:kinsoku/>
        <w:wordWrap/>
        <w:topLinePunct w:val="0"/>
        <w:autoSpaceDE/>
        <w:autoSpaceDN/>
        <w:bidi w:val="0"/>
        <w:spacing w:line="579" w:lineRule="exact"/>
        <w:jc w:val="center"/>
        <w:textAlignment w:val="auto"/>
        <w:rPr>
          <w:color w:val="000000"/>
          <w:sz w:val="32"/>
          <w:szCs w:val="32"/>
        </w:rPr>
      </w:pPr>
      <w:r>
        <w:rPr>
          <w:rFonts w:hint="eastAsia" w:ascii="黑体" w:hAnsi="黑体" w:eastAsia="黑体" w:cs="MingLiU"/>
          <w:color w:val="000000"/>
          <w:sz w:val="32"/>
          <w:szCs w:val="32"/>
        </w:rPr>
        <w:t>第八章  法律责任</w:t>
      </w:r>
    </w:p>
    <w:p>
      <w:pPr>
        <w:keepNext w:val="0"/>
        <w:keepLines w:val="0"/>
        <w:pageBreakBefore w:val="0"/>
        <w:kinsoku/>
        <w:wordWrap/>
        <w:topLinePunct w:val="0"/>
        <w:autoSpaceDE/>
        <w:autoSpaceDN/>
        <w:bidi w:val="0"/>
        <w:spacing w:line="579" w:lineRule="exact"/>
        <w:ind w:firstLine="624"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第四十四条【适龄公民责任】 </w:t>
      </w:r>
      <w:r>
        <w:rPr>
          <w:rFonts w:hint="eastAsia" w:ascii="仿宋_GB2312" w:eastAsia="仿宋_GB2312"/>
          <w:color w:val="000000"/>
          <w:sz w:val="32"/>
          <w:szCs w:val="32"/>
        </w:rPr>
        <w:t>有服兵役义务的公民有下列行为之一的，责令限期改正；逾期不改正的，由县级人民政府强制其履行兵役义务，并处以入伍地当年义务兵家庭优待金标准一倍以上</w:t>
      </w:r>
      <w:r>
        <w:rPr>
          <w:rFonts w:hint="eastAsia" w:ascii="仿宋_GB2312" w:eastAsia="仿宋_GB2312"/>
          <w:color w:val="000000"/>
          <w:sz w:val="32"/>
          <w:szCs w:val="32"/>
          <w:lang w:eastAsia="zh-CN"/>
        </w:rPr>
        <w:t>二</w:t>
      </w:r>
      <w:r>
        <w:rPr>
          <w:rFonts w:hint="eastAsia" w:ascii="仿宋_GB2312" w:eastAsia="仿宋_GB2312"/>
          <w:color w:val="000000"/>
          <w:sz w:val="32"/>
          <w:szCs w:val="32"/>
        </w:rPr>
        <w:t>倍以下的罚款：</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（一）拒绝、逃避初次兵役登记的；</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（二）应征公民拒绝、逃避征集服现役的</w:t>
      </w:r>
      <w:r>
        <w:rPr>
          <w:rFonts w:hint="eastAsia" w:ascii="仿宋_GB2312" w:eastAsia="仿宋_GB2312"/>
          <w:color w:val="000000"/>
          <w:sz w:val="32"/>
          <w:szCs w:val="32"/>
          <w:lang w:eastAsia="zh-CN"/>
        </w:rPr>
        <w:t>。</w:t>
      </w:r>
    </w:p>
    <w:p>
      <w:pPr>
        <w:keepNext w:val="0"/>
        <w:keepLines w:val="0"/>
        <w:pageBreakBefore w:val="0"/>
        <w:kinsoku/>
        <w:wordWrap/>
        <w:topLinePunct w:val="0"/>
        <w:autoSpaceDE/>
        <w:autoSpaceDN/>
        <w:bidi w:val="0"/>
        <w:spacing w:line="579" w:lineRule="exact"/>
        <w:ind w:firstLine="624"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有前款第二项行为，拒不改正的，不得录用为公务员或者参照《中华人民共和国公务员法》管理的工作人员，不得招录、聘用为国有企业和事业单位工作人员，两年内不准出境或者升学复学，由兵役机关会同有关部门将其纳入履行国防义务严重失信主体名单实施联合惩戒。</w:t>
      </w:r>
    </w:p>
    <w:p>
      <w:pPr>
        <w:pStyle w:val="61"/>
        <w:keepNext w:val="0"/>
        <w:keepLines w:val="0"/>
        <w:pageBreakBefore w:val="0"/>
        <w:kinsoku/>
        <w:wordWrap/>
        <w:topLinePunct w:val="0"/>
        <w:autoSpaceDE/>
        <w:autoSpaceDN/>
        <w:bidi w:val="0"/>
        <w:spacing w:line="579" w:lineRule="exact"/>
        <w:ind w:firstLine="624" w:firstLineChars="200"/>
        <w:textAlignment w:val="auto"/>
        <w:rPr>
          <w:rFonts w:ascii="仿宋_GB2312" w:hAnsi="Calibri" w:eastAsia="仿宋_GB2312"/>
          <w:color w:val="000000"/>
          <w:sz w:val="32"/>
          <w:szCs w:val="32"/>
        </w:rPr>
      </w:pPr>
      <w:r>
        <w:rPr>
          <w:rFonts w:hint="eastAsia" w:ascii="黑体" w:hAnsi="黑体" w:eastAsia="黑体"/>
          <w:color w:val="000000"/>
          <w:sz w:val="32"/>
          <w:szCs w:val="32"/>
        </w:rPr>
        <w:t xml:space="preserve">第四十五条【拒服兵役惩戒】 </w:t>
      </w:r>
      <w:r>
        <w:rPr>
          <w:rFonts w:hint="eastAsia" w:ascii="仿宋_GB2312" w:hAnsi="Calibri" w:eastAsia="仿宋_GB2312"/>
          <w:color w:val="000000"/>
          <w:sz w:val="32"/>
          <w:szCs w:val="32"/>
        </w:rPr>
        <w:t>新兵以逃避服兵役为目的，拒绝履行职责或者逃离部队的，由征集地县级人民政府除依照本条例第四十四条第二款的规定处罚外，还应取消其义务兵优待并处以入伍地当年义务兵家庭优待金</w:t>
      </w:r>
      <w:r>
        <w:rPr>
          <w:rFonts w:hint="eastAsia" w:ascii="仿宋_GB2312" w:eastAsia="仿宋_GB2312"/>
          <w:sz w:val="32"/>
          <w:szCs w:val="32"/>
        </w:rPr>
        <w:t>二倍以上</w:t>
      </w:r>
      <w:r>
        <w:rPr>
          <w:rFonts w:hint="eastAsia" w:ascii="仿宋_GB2312" w:hAnsi="Calibri" w:eastAsia="仿宋_GB2312"/>
          <w:color w:val="000000"/>
          <w:sz w:val="32"/>
          <w:szCs w:val="32"/>
          <w:lang w:eastAsia="zh-CN"/>
        </w:rPr>
        <w:t>罚款</w:t>
      </w:r>
      <w:r>
        <w:rPr>
          <w:rFonts w:hint="eastAsia" w:ascii="仿宋_GB2312" w:hAnsi="Calibri" w:eastAsia="仿宋_GB2312"/>
          <w:color w:val="000000"/>
          <w:sz w:val="32"/>
          <w:szCs w:val="32"/>
        </w:rPr>
        <w:t>，将拒服兵役行为及惩处结果向社会通报。新兵征集地与户籍地不在同一地的，对新兵拒服兵役惩戒措施由征集地县级人民政府兵役机关函告户籍地县级人民政府兵役机关向社会通报。</w:t>
      </w:r>
    </w:p>
    <w:p>
      <w:pPr>
        <w:pStyle w:val="61"/>
        <w:keepNext w:val="0"/>
        <w:keepLines w:val="0"/>
        <w:pageBreakBefore w:val="0"/>
        <w:kinsoku/>
        <w:wordWrap/>
        <w:topLinePunct w:val="0"/>
        <w:autoSpaceDE/>
        <w:autoSpaceDN/>
        <w:bidi w:val="0"/>
        <w:spacing w:line="579" w:lineRule="exact"/>
        <w:ind w:firstLine="624" w:firstLineChars="200"/>
        <w:textAlignment w:val="auto"/>
        <w:rPr>
          <w:rFonts w:ascii="仿宋_GB2312" w:hAnsi="Calibri" w:eastAsia="仿宋_GB2312"/>
          <w:color w:val="000000"/>
          <w:sz w:val="32"/>
          <w:szCs w:val="32"/>
        </w:rPr>
      </w:pPr>
      <w:r>
        <w:rPr>
          <w:rFonts w:hint="eastAsia" w:ascii="黑体" w:hAnsi="黑体" w:eastAsia="黑体"/>
          <w:color w:val="000000"/>
          <w:sz w:val="32"/>
          <w:szCs w:val="32"/>
        </w:rPr>
        <w:t xml:space="preserve">第四十六条【普通公民责任】 </w:t>
      </w:r>
      <w:r>
        <w:rPr>
          <w:rFonts w:hint="eastAsia" w:ascii="仿宋_GB2312" w:hAnsi="Calibri" w:eastAsia="仿宋_GB2312"/>
          <w:color w:val="000000"/>
          <w:sz w:val="32"/>
          <w:szCs w:val="32"/>
        </w:rPr>
        <w:t>公民有下列行为之一的，责令限期改正，并可以处2000元以上5000元以下的罚款；属于公职人员的，可由所在单位给予处分；违反治安管理规定的，由公安机关给予治安处罚；构成犯罪的，依法追究刑事责任：</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（一）体检时冒名顶替、隐瞒影响服役的严重疾病、伪造病史材料、隐瞒犯罪行为或者记录；</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（二）提供虚假入伍材料或者采取行贿等手段取得入伍资格；</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（三）干涉、阻挠公民履行兵役义务；</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（四）包庇、纵容适龄公民逃避初次兵役登记和逃避征集；</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（五）拒绝、阻碍征兵工作人员依法执行公务，扰乱征兵工作秩序；</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（六）冒充征接</w:t>
      </w:r>
      <w:r>
        <w:rPr>
          <w:rFonts w:hint="eastAsia" w:ascii="仿宋_GB2312" w:hAnsi="Calibri" w:eastAsia="仿宋_GB2312"/>
          <w:color w:val="000000"/>
          <w:sz w:val="32"/>
          <w:szCs w:val="32"/>
          <w:lang w:eastAsia="zh-CN"/>
        </w:rPr>
        <w:t>（领）</w:t>
      </w:r>
      <w:r>
        <w:rPr>
          <w:rFonts w:hint="eastAsia" w:ascii="仿宋_GB2312" w:hAnsi="Calibri" w:eastAsia="仿宋_GB2312"/>
          <w:color w:val="000000"/>
          <w:sz w:val="32"/>
          <w:szCs w:val="32"/>
        </w:rPr>
        <w:t>兵工作人员或者以帮助应征公民入伍的名义招摇撞骗；</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（七）有其他违反兵役法律、法规和有关规定。</w:t>
      </w:r>
    </w:p>
    <w:p>
      <w:pPr>
        <w:pStyle w:val="61"/>
        <w:keepNext w:val="0"/>
        <w:keepLines w:val="0"/>
        <w:pageBreakBefore w:val="0"/>
        <w:kinsoku/>
        <w:wordWrap/>
        <w:topLinePunct w:val="0"/>
        <w:autoSpaceDE/>
        <w:autoSpaceDN/>
        <w:bidi w:val="0"/>
        <w:spacing w:line="579" w:lineRule="exact"/>
        <w:ind w:firstLine="624" w:firstLineChars="200"/>
        <w:textAlignment w:val="auto"/>
        <w:rPr>
          <w:rFonts w:ascii="仿宋_GB2312" w:hAnsi="Calibri" w:eastAsia="仿宋_GB2312"/>
          <w:color w:val="000000"/>
          <w:sz w:val="32"/>
          <w:szCs w:val="32"/>
        </w:rPr>
      </w:pPr>
      <w:r>
        <w:rPr>
          <w:rFonts w:hint="eastAsia" w:ascii="黑体" w:hAnsi="黑体" w:eastAsia="黑体"/>
          <w:color w:val="000000"/>
          <w:sz w:val="32"/>
          <w:szCs w:val="32"/>
        </w:rPr>
        <w:t xml:space="preserve">第四十七条【征兵工作人员责任】 </w:t>
      </w:r>
      <w:r>
        <w:rPr>
          <w:rFonts w:hint="eastAsia" w:ascii="仿宋_GB2312" w:hAnsi="Calibri" w:eastAsia="仿宋_GB2312"/>
          <w:color w:val="000000"/>
          <w:sz w:val="32"/>
          <w:szCs w:val="32"/>
        </w:rPr>
        <w:t>征兵工作人员有下列行为之一的，由县级以上人民政府兵役机关向相关单位通报并提出处理意见，相关单位按照权限依法依规处理；构成犯罪的，依法追究刑事责任：</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（一）为逃避服兵役的人员提供方便或者故意征集不合格人员入伍；</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（二）泄漏或者向他人非法提供兵役个人信息；</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（三）滥用职权或者玩忽职守；</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（四）利用征兵工作向适龄公民及其家属收取费用；</w:t>
      </w:r>
    </w:p>
    <w:p>
      <w:pPr>
        <w:pStyle w:val="61"/>
        <w:keepNext w:val="0"/>
        <w:keepLines w:val="0"/>
        <w:pageBreakBefore w:val="0"/>
        <w:numPr>
          <w:ilvl w:val="0"/>
          <w:numId w:val="2"/>
        </w:numPr>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贪污、索取或者收受贿赂；</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（六）有其他违反兵役法律、法规和有关规定。</w:t>
      </w:r>
    </w:p>
    <w:p>
      <w:pPr>
        <w:pStyle w:val="61"/>
        <w:keepNext w:val="0"/>
        <w:keepLines w:val="0"/>
        <w:pageBreakBefore w:val="0"/>
        <w:kinsoku/>
        <w:wordWrap/>
        <w:topLinePunct w:val="0"/>
        <w:autoSpaceDE/>
        <w:autoSpaceDN/>
        <w:bidi w:val="0"/>
        <w:spacing w:line="579" w:lineRule="exact"/>
        <w:ind w:firstLine="624" w:firstLineChars="200"/>
        <w:textAlignment w:val="auto"/>
        <w:rPr>
          <w:rFonts w:ascii="仿宋_GB2312" w:hAnsi="Calibri" w:eastAsia="仿宋_GB2312"/>
          <w:color w:val="000000"/>
          <w:sz w:val="32"/>
          <w:szCs w:val="32"/>
        </w:rPr>
      </w:pPr>
      <w:r>
        <w:rPr>
          <w:rFonts w:hint="eastAsia" w:ascii="黑体" w:hAnsi="黑体" w:eastAsia="黑体"/>
          <w:color w:val="000000"/>
          <w:sz w:val="32"/>
          <w:szCs w:val="32"/>
        </w:rPr>
        <w:t xml:space="preserve">第四十八条【单位责任】 </w:t>
      </w:r>
      <w:r>
        <w:rPr>
          <w:rFonts w:hint="eastAsia" w:ascii="仿宋_GB2312" w:hAnsi="Calibri" w:eastAsia="仿宋_GB2312"/>
          <w:color w:val="000000"/>
          <w:sz w:val="32"/>
          <w:szCs w:val="32"/>
        </w:rPr>
        <w:t>机关、团体、企业事业组织有下列行为之一的，由县级以上人民政府责令限期</w:t>
      </w:r>
      <w:r>
        <w:rPr>
          <w:rFonts w:hint="eastAsia" w:ascii="仿宋_GB2312" w:hAnsi="Calibri" w:eastAsia="仿宋_GB2312"/>
          <w:color w:val="000000"/>
          <w:sz w:val="32"/>
          <w:szCs w:val="32"/>
          <w:lang w:eastAsia="zh-CN"/>
        </w:rPr>
        <w:t>改正</w:t>
      </w:r>
      <w:r>
        <w:rPr>
          <w:rFonts w:hint="eastAsia" w:ascii="仿宋_GB2312" w:hAnsi="Calibri" w:eastAsia="仿宋_GB2312"/>
          <w:color w:val="000000"/>
          <w:sz w:val="32"/>
          <w:szCs w:val="32"/>
        </w:rPr>
        <w:t>，并对单位负有责任的领导人员、直接负责的主管人员和他直接责任人员，依法</w:t>
      </w:r>
      <w:r>
        <w:rPr>
          <w:rFonts w:hint="eastAsia" w:ascii="仿宋_GB2312" w:hAnsi="Calibri" w:eastAsia="仿宋_GB2312"/>
          <w:color w:val="000000"/>
          <w:sz w:val="32"/>
          <w:szCs w:val="32"/>
          <w:lang w:eastAsia="zh-CN"/>
        </w:rPr>
        <w:t>予以处罚</w:t>
      </w:r>
      <w:r>
        <w:rPr>
          <w:rFonts w:hint="eastAsia" w:ascii="仿宋_GB2312" w:hAnsi="Calibri" w:eastAsia="仿宋_GB2312"/>
          <w:color w:val="000000"/>
          <w:sz w:val="32"/>
          <w:szCs w:val="32"/>
        </w:rPr>
        <w:t>：</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（一）拒不执行征兵命令，拒绝完成征兵任务；</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（二）不实施或者不配合有关部门开展适龄公民初次兵役登记和信息核验查验；</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（三）不按规定组织征兵宣传、体格检查和政治考核；</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（四）提供虚假证明材料；</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（五）阻挠适龄公民履行兵役义务；</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（六）其他妨害征兵工作行为。</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仿宋_GB2312" w:hAnsi="Calibri" w:eastAsia="仿宋_GB2312"/>
          <w:color w:val="000000"/>
          <w:sz w:val="32"/>
          <w:szCs w:val="32"/>
        </w:rPr>
      </w:pPr>
      <w:r>
        <w:rPr>
          <w:rFonts w:hint="eastAsia" w:ascii="黑体" w:hAnsi="黑体" w:eastAsia="黑体"/>
          <w:color w:val="000000"/>
          <w:sz w:val="32"/>
          <w:szCs w:val="32"/>
        </w:rPr>
        <w:t xml:space="preserve">第四十九条【惩处实施】 </w:t>
      </w:r>
      <w:r>
        <w:rPr>
          <w:rFonts w:hint="eastAsia" w:ascii="仿宋_GB2312" w:hAnsi="Calibri" w:eastAsia="仿宋_GB2312"/>
          <w:color w:val="000000"/>
          <w:sz w:val="32"/>
          <w:szCs w:val="32"/>
        </w:rPr>
        <w:t>本条例规定的处罚，由县级以上人民政府兵役机关会同有关部门查明事实、提出意见，经同级人民政府作出处罚决定后，由县级以上人民政府兵役机关、发展改革、公安、退役军人工作、卫生健康、教育、人力资源和社会保障等部门按照职责分工具体执行。</w:t>
      </w:r>
    </w:p>
    <w:p>
      <w:pPr>
        <w:pStyle w:val="61"/>
        <w:keepNext w:val="0"/>
        <w:keepLines w:val="0"/>
        <w:pageBreakBefore w:val="0"/>
        <w:kinsoku/>
        <w:wordWrap/>
        <w:topLinePunct w:val="0"/>
        <w:autoSpaceDE/>
        <w:autoSpaceDN/>
        <w:bidi w:val="0"/>
        <w:spacing w:line="579" w:lineRule="exact"/>
        <w:ind w:firstLine="624" w:firstLineChars="200"/>
        <w:textAlignment w:val="auto"/>
        <w:rPr>
          <w:rFonts w:ascii="仿宋_GB2312" w:hAnsi="Calibri" w:eastAsia="仿宋_GB2312"/>
          <w:color w:val="000000"/>
          <w:sz w:val="32"/>
          <w:szCs w:val="32"/>
        </w:rPr>
      </w:pPr>
    </w:p>
    <w:p>
      <w:pPr>
        <w:pStyle w:val="61"/>
        <w:keepNext w:val="0"/>
        <w:keepLines w:val="0"/>
        <w:pageBreakBefore w:val="0"/>
        <w:kinsoku/>
        <w:wordWrap/>
        <w:topLinePunct w:val="0"/>
        <w:autoSpaceDE/>
        <w:autoSpaceDN/>
        <w:bidi w:val="0"/>
        <w:spacing w:line="579" w:lineRule="exact"/>
        <w:jc w:val="center"/>
        <w:textAlignment w:val="auto"/>
        <w:rPr>
          <w:color w:val="000000"/>
          <w:sz w:val="32"/>
          <w:szCs w:val="32"/>
        </w:rPr>
      </w:pPr>
      <w:r>
        <w:rPr>
          <w:rFonts w:hint="eastAsia" w:ascii="黑体" w:hAnsi="黑体" w:eastAsia="黑体" w:cs="MingLiU"/>
          <w:color w:val="000000"/>
          <w:sz w:val="32"/>
          <w:szCs w:val="32"/>
        </w:rPr>
        <w:t>第九章  附  则</w:t>
      </w:r>
    </w:p>
    <w:p>
      <w:pPr>
        <w:pStyle w:val="61"/>
        <w:keepNext w:val="0"/>
        <w:keepLines w:val="0"/>
        <w:pageBreakBefore w:val="0"/>
        <w:kinsoku/>
        <w:wordWrap/>
        <w:topLinePunct w:val="0"/>
        <w:autoSpaceDE/>
        <w:autoSpaceDN/>
        <w:bidi w:val="0"/>
        <w:spacing w:line="579" w:lineRule="exact"/>
        <w:ind w:firstLine="624" w:firstLineChars="200"/>
        <w:textAlignment w:val="auto"/>
        <w:rPr>
          <w:rFonts w:hint="eastAsia" w:ascii="黑体" w:hAnsi="黑体" w:eastAsia="黑体"/>
          <w:color w:val="000000"/>
          <w:sz w:val="32"/>
          <w:szCs w:val="32"/>
        </w:rPr>
      </w:pPr>
    </w:p>
    <w:p>
      <w:pPr>
        <w:pStyle w:val="60"/>
        <w:keepNext w:val="0"/>
        <w:keepLines w:val="0"/>
        <w:pageBreakBefore w:val="0"/>
        <w:kinsoku/>
        <w:wordWrap/>
        <w:topLinePunct w:val="0"/>
        <w:autoSpaceDE/>
        <w:autoSpaceDN/>
        <w:bidi w:val="0"/>
        <w:spacing w:line="579" w:lineRule="exact"/>
        <w:ind w:firstLine="624" w:firstLineChars="200"/>
        <w:jc w:val="both"/>
        <w:textAlignment w:val="auto"/>
        <w:rPr>
          <w:rFonts w:ascii="仿宋_GB2312" w:hAnsi="Calibri" w:eastAsia="仿宋_GB2312" w:cs="Times New Roman"/>
          <w:kern w:val="2"/>
          <w:sz w:val="32"/>
          <w:szCs w:val="32"/>
        </w:rPr>
      </w:pPr>
      <w:r>
        <w:rPr>
          <w:rFonts w:hint="eastAsia" w:ascii="黑体" w:hAnsi="黑体" w:eastAsia="黑体" w:cs="Times New Roman"/>
          <w:sz w:val="32"/>
          <w:szCs w:val="32"/>
        </w:rPr>
        <w:t xml:space="preserve">第五十条【适用对象】 </w:t>
      </w:r>
      <w:r>
        <w:rPr>
          <w:rFonts w:hint="eastAsia" w:ascii="仿宋_GB2312" w:hAnsi="Calibri" w:eastAsia="仿宋_GB2312" w:cs="Times New Roman"/>
          <w:kern w:val="2"/>
          <w:sz w:val="32"/>
          <w:szCs w:val="32"/>
        </w:rPr>
        <w:t>从非军事部门招收现役军官（警官）、军士（警士）的体格检查、政治考核、办理入伍手续等工作，参照本条例有关规定执行。</w:t>
      </w:r>
    </w:p>
    <w:p>
      <w:pPr>
        <w:keepNext w:val="0"/>
        <w:keepLines w:val="0"/>
        <w:pageBreakBefore w:val="0"/>
        <w:kinsoku/>
        <w:wordWrap/>
        <w:topLinePunct w:val="0"/>
        <w:autoSpaceDE/>
        <w:autoSpaceDN/>
        <w:bidi w:val="0"/>
        <w:spacing w:line="579" w:lineRule="exact"/>
        <w:ind w:firstLine="624" w:firstLineChars="200"/>
        <w:textAlignment w:val="auto"/>
        <w:rPr>
          <w:rFonts w:hint="default" w:ascii="Times New Roman" w:hAnsi="Times New Roman" w:eastAsia="华文中宋" w:cs="Times New Roman"/>
          <w:b w:val="0"/>
          <w:bCs w:val="0"/>
          <w:color w:val="FF0000"/>
          <w:sz w:val="44"/>
          <w:szCs w:val="44"/>
          <w:lang w:val="en-US" w:eastAsia="zh-CN"/>
        </w:rPr>
      </w:pPr>
      <w:r>
        <w:rPr>
          <w:rFonts w:hint="eastAsia" w:ascii="黑体" w:hAnsi="黑体" w:eastAsia="黑体"/>
          <w:color w:val="000000"/>
          <w:kern w:val="0"/>
          <w:sz w:val="32"/>
          <w:szCs w:val="32"/>
        </w:rPr>
        <w:t>第五十</w:t>
      </w:r>
      <w:r>
        <w:rPr>
          <w:rFonts w:hint="eastAsia" w:ascii="黑体" w:hAnsi="黑体" w:eastAsia="黑体"/>
          <w:color w:val="000000"/>
          <w:kern w:val="0"/>
          <w:sz w:val="32"/>
          <w:szCs w:val="32"/>
          <w:lang w:eastAsia="zh-CN"/>
        </w:rPr>
        <w:t>一</w:t>
      </w:r>
      <w:r>
        <w:rPr>
          <w:rFonts w:hint="eastAsia" w:ascii="黑体" w:hAnsi="黑体" w:eastAsia="黑体"/>
          <w:color w:val="000000"/>
          <w:kern w:val="0"/>
          <w:sz w:val="32"/>
          <w:szCs w:val="32"/>
        </w:rPr>
        <w:t>条【施行时间】</w:t>
      </w:r>
      <w:r>
        <w:rPr>
          <w:rFonts w:hint="eastAsia" w:ascii="仿宋_GB2312" w:eastAsia="仿宋_GB2312"/>
          <w:color w:val="000000"/>
          <w:sz w:val="32"/>
          <w:szCs w:val="32"/>
        </w:rPr>
        <w:t xml:space="preserve"> 本条例自202 年 月 日起施行。</w:t>
      </w:r>
    </w:p>
    <w:sectPr>
      <w:headerReference r:id="rId3" w:type="default"/>
      <w:footerReference r:id="rId4" w:type="default"/>
      <w:pgSz w:w="11906" w:h="16838"/>
      <w:pgMar w:top="2098" w:right="1587" w:bottom="2098" w:left="1587" w:header="851" w:footer="1417" w:gutter="0"/>
      <w:pgNumType w:fmt="decimal"/>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w Cen MT">
    <w:altName w:val="Segoe Print"/>
    <w:panose1 w:val="020B0602020104020603"/>
    <w:charset w:val="00"/>
    <w:family w:val="auto"/>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ascii="Times New Roman" w:hAnsi="Times New Roman" w:eastAsia="仿宋_GB2312" w:cs="Times New Roman"/>
        <w:kern w:val="0"/>
        <w:sz w:val="18"/>
        <w:szCs w:val="3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E5CEA"/>
    <w:multiLevelType w:val="singleLevel"/>
    <w:tmpl w:val="8CAE5CEA"/>
    <w:lvl w:ilvl="0" w:tentative="0">
      <w:start w:val="5"/>
      <w:numFmt w:val="chineseCounting"/>
      <w:suff w:val="nothing"/>
      <w:lvlText w:val="（%1）"/>
      <w:lvlJc w:val="left"/>
      <w:rPr>
        <w:rFonts w:hint="eastAsia"/>
      </w:rPr>
    </w:lvl>
  </w:abstractNum>
  <w:abstractNum w:abstractNumId="1">
    <w:nsid w:val="07766CA9"/>
    <w:multiLevelType w:val="singleLevel"/>
    <w:tmpl w:val="07766CA9"/>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8"/>
  <w:bordersDoNotSurroundHeader w:val="1"/>
  <w:bordersDoNotSurroundFooter w:val="1"/>
  <w:documentProtection w:enforcement="0"/>
  <w:defaultTabStop w:val="420"/>
  <w:drawingGridHorizontalSpacing w:val="156"/>
  <w:drawingGridVerticalSpacing w:val="287"/>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6E"/>
    <w:rsid w:val="0006732F"/>
    <w:rsid w:val="000B29B7"/>
    <w:rsid w:val="001535C7"/>
    <w:rsid w:val="001822D9"/>
    <w:rsid w:val="001B6D20"/>
    <w:rsid w:val="003E0740"/>
    <w:rsid w:val="003F706D"/>
    <w:rsid w:val="00415427"/>
    <w:rsid w:val="004662B5"/>
    <w:rsid w:val="00506E49"/>
    <w:rsid w:val="005304CE"/>
    <w:rsid w:val="00617029"/>
    <w:rsid w:val="007D36A2"/>
    <w:rsid w:val="00936627"/>
    <w:rsid w:val="00960BF2"/>
    <w:rsid w:val="00987060"/>
    <w:rsid w:val="00AC0C45"/>
    <w:rsid w:val="00DD19EA"/>
    <w:rsid w:val="00E126A0"/>
    <w:rsid w:val="00E32CEB"/>
    <w:rsid w:val="00E36752"/>
    <w:rsid w:val="00EC186E"/>
    <w:rsid w:val="00EE5C6E"/>
    <w:rsid w:val="019D47C2"/>
    <w:rsid w:val="021712C8"/>
    <w:rsid w:val="034842D1"/>
    <w:rsid w:val="03954FC4"/>
    <w:rsid w:val="03972EA1"/>
    <w:rsid w:val="047E4826"/>
    <w:rsid w:val="056F13BD"/>
    <w:rsid w:val="062F3262"/>
    <w:rsid w:val="067C1EAE"/>
    <w:rsid w:val="069C63D4"/>
    <w:rsid w:val="08DE1BFD"/>
    <w:rsid w:val="09121B6E"/>
    <w:rsid w:val="0CCF3CDB"/>
    <w:rsid w:val="0D22482E"/>
    <w:rsid w:val="0D254BAC"/>
    <w:rsid w:val="0DB12D8C"/>
    <w:rsid w:val="0E6F7BD6"/>
    <w:rsid w:val="0F064AB2"/>
    <w:rsid w:val="104B72D7"/>
    <w:rsid w:val="110B1B7E"/>
    <w:rsid w:val="12A039A5"/>
    <w:rsid w:val="12FD11D1"/>
    <w:rsid w:val="135C7788"/>
    <w:rsid w:val="154B7E53"/>
    <w:rsid w:val="159343B0"/>
    <w:rsid w:val="16BE7332"/>
    <w:rsid w:val="17FD2747"/>
    <w:rsid w:val="18CE3BE7"/>
    <w:rsid w:val="19665C44"/>
    <w:rsid w:val="1A3218A9"/>
    <w:rsid w:val="1A956893"/>
    <w:rsid w:val="1AF13A5A"/>
    <w:rsid w:val="1BD81590"/>
    <w:rsid w:val="1D1247CC"/>
    <w:rsid w:val="1D762F10"/>
    <w:rsid w:val="1EE257E8"/>
    <w:rsid w:val="1F3E5CE8"/>
    <w:rsid w:val="22224A40"/>
    <w:rsid w:val="22554611"/>
    <w:rsid w:val="226C76CC"/>
    <w:rsid w:val="237F6E50"/>
    <w:rsid w:val="23D215CC"/>
    <w:rsid w:val="25383AE3"/>
    <w:rsid w:val="25A26914"/>
    <w:rsid w:val="25B30734"/>
    <w:rsid w:val="261D0E07"/>
    <w:rsid w:val="27FD4525"/>
    <w:rsid w:val="281F397D"/>
    <w:rsid w:val="28543522"/>
    <w:rsid w:val="28D53790"/>
    <w:rsid w:val="297441A6"/>
    <w:rsid w:val="29BA760F"/>
    <w:rsid w:val="2ABB3563"/>
    <w:rsid w:val="2E306CA1"/>
    <w:rsid w:val="2F812AED"/>
    <w:rsid w:val="307550CC"/>
    <w:rsid w:val="311110B1"/>
    <w:rsid w:val="32023D81"/>
    <w:rsid w:val="329074FF"/>
    <w:rsid w:val="333B5B1E"/>
    <w:rsid w:val="338F750F"/>
    <w:rsid w:val="33E81EF4"/>
    <w:rsid w:val="34667429"/>
    <w:rsid w:val="346B298C"/>
    <w:rsid w:val="37A444F3"/>
    <w:rsid w:val="37A5537B"/>
    <w:rsid w:val="37FF1795"/>
    <w:rsid w:val="37FF9ABA"/>
    <w:rsid w:val="387D7BC1"/>
    <w:rsid w:val="398F5D7D"/>
    <w:rsid w:val="3A4624BC"/>
    <w:rsid w:val="3AB965A7"/>
    <w:rsid w:val="3BB623E9"/>
    <w:rsid w:val="3BF24DBF"/>
    <w:rsid w:val="3C1F562E"/>
    <w:rsid w:val="3D0E65CC"/>
    <w:rsid w:val="3F3239B7"/>
    <w:rsid w:val="40075921"/>
    <w:rsid w:val="40A90E08"/>
    <w:rsid w:val="42517FAD"/>
    <w:rsid w:val="42641040"/>
    <w:rsid w:val="445C7CC8"/>
    <w:rsid w:val="455114B1"/>
    <w:rsid w:val="455F4440"/>
    <w:rsid w:val="46DD4C04"/>
    <w:rsid w:val="47F34461"/>
    <w:rsid w:val="4808710F"/>
    <w:rsid w:val="486440F6"/>
    <w:rsid w:val="48FC0C52"/>
    <w:rsid w:val="49B63D7E"/>
    <w:rsid w:val="4B3D426D"/>
    <w:rsid w:val="4BE0268A"/>
    <w:rsid w:val="4C8F1B0C"/>
    <w:rsid w:val="4CF96300"/>
    <w:rsid w:val="4D345967"/>
    <w:rsid w:val="4E3C545B"/>
    <w:rsid w:val="4F4B2191"/>
    <w:rsid w:val="4FF04265"/>
    <w:rsid w:val="4FFE7758"/>
    <w:rsid w:val="511E7DA3"/>
    <w:rsid w:val="53F31085"/>
    <w:rsid w:val="54B1545F"/>
    <w:rsid w:val="54FB3631"/>
    <w:rsid w:val="55A9396C"/>
    <w:rsid w:val="5677C94B"/>
    <w:rsid w:val="57264E76"/>
    <w:rsid w:val="58113A0D"/>
    <w:rsid w:val="585B4BAC"/>
    <w:rsid w:val="587C2669"/>
    <w:rsid w:val="59343098"/>
    <w:rsid w:val="59402645"/>
    <w:rsid w:val="5B86348A"/>
    <w:rsid w:val="5BCE1D84"/>
    <w:rsid w:val="5D6F0181"/>
    <w:rsid w:val="5F20199D"/>
    <w:rsid w:val="60BC5CC6"/>
    <w:rsid w:val="60F25A46"/>
    <w:rsid w:val="626916C1"/>
    <w:rsid w:val="640D4066"/>
    <w:rsid w:val="64436D7D"/>
    <w:rsid w:val="645C3299"/>
    <w:rsid w:val="64C50BF0"/>
    <w:rsid w:val="65D253AD"/>
    <w:rsid w:val="667939D6"/>
    <w:rsid w:val="66DD30F8"/>
    <w:rsid w:val="67AB2DB1"/>
    <w:rsid w:val="68946499"/>
    <w:rsid w:val="689D6D8C"/>
    <w:rsid w:val="69923F87"/>
    <w:rsid w:val="6AD10F18"/>
    <w:rsid w:val="6B6A3D66"/>
    <w:rsid w:val="6B9E5626"/>
    <w:rsid w:val="6D4973C5"/>
    <w:rsid w:val="6D7E4AE3"/>
    <w:rsid w:val="6E3319AA"/>
    <w:rsid w:val="6E386261"/>
    <w:rsid w:val="6ED66353"/>
    <w:rsid w:val="6F4570DF"/>
    <w:rsid w:val="6FE54F39"/>
    <w:rsid w:val="6FF9D1EF"/>
    <w:rsid w:val="70810FA4"/>
    <w:rsid w:val="714D0CF3"/>
    <w:rsid w:val="726613E4"/>
    <w:rsid w:val="736E252A"/>
    <w:rsid w:val="751D4221"/>
    <w:rsid w:val="757C1D4B"/>
    <w:rsid w:val="76037538"/>
    <w:rsid w:val="76A469CD"/>
    <w:rsid w:val="76F4653D"/>
    <w:rsid w:val="77DE6DE9"/>
    <w:rsid w:val="78407228"/>
    <w:rsid w:val="794F4126"/>
    <w:rsid w:val="7A78480C"/>
    <w:rsid w:val="7B131E11"/>
    <w:rsid w:val="7B617EC0"/>
    <w:rsid w:val="7C5F6EA0"/>
    <w:rsid w:val="7CAE0C47"/>
    <w:rsid w:val="7DF565EA"/>
    <w:rsid w:val="7E17450D"/>
    <w:rsid w:val="BBFDF350"/>
    <w:rsid w:val="BEFFDA67"/>
    <w:rsid w:val="F6ED4D3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qFormat="1" w:uiPriority="99" w:semiHidden="0"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仿宋_GB2312" w:cs="Times New Roman"/>
      <w:kern w:val="0"/>
      <w:sz w:val="32"/>
      <w:szCs w:val="30"/>
      <w:lang w:val="en-US" w:eastAsia="zh-CN" w:bidi="ar-SA"/>
    </w:rPr>
  </w:style>
  <w:style w:type="paragraph" w:styleId="3">
    <w:name w:val="heading 1"/>
    <w:basedOn w:val="1"/>
    <w:next w:val="1"/>
    <w:link w:val="37"/>
    <w:qFormat/>
    <w:uiPriority w:val="99"/>
    <w:pPr>
      <w:pBdr>
        <w:bottom w:val="thinThickSmallGap" w:color="943734" w:sz="12" w:space="1"/>
      </w:pBdr>
      <w:spacing w:before="400"/>
      <w:jc w:val="center"/>
      <w:outlineLvl w:val="0"/>
    </w:pPr>
    <w:rPr>
      <w:caps/>
      <w:color w:val="632423"/>
      <w:spacing w:val="20"/>
      <w:sz w:val="28"/>
      <w:szCs w:val="28"/>
    </w:rPr>
  </w:style>
  <w:style w:type="paragraph" w:styleId="4">
    <w:name w:val="heading 2"/>
    <w:basedOn w:val="1"/>
    <w:next w:val="1"/>
    <w:link w:val="38"/>
    <w:qFormat/>
    <w:uiPriority w:val="99"/>
    <w:pPr>
      <w:pBdr>
        <w:bottom w:val="single" w:color="622423" w:sz="4" w:space="1"/>
      </w:pBdr>
      <w:spacing w:before="400"/>
      <w:jc w:val="center"/>
      <w:outlineLvl w:val="1"/>
    </w:pPr>
    <w:rPr>
      <w:caps/>
      <w:color w:val="632423"/>
      <w:spacing w:val="15"/>
      <w:sz w:val="24"/>
      <w:szCs w:val="24"/>
    </w:rPr>
  </w:style>
  <w:style w:type="paragraph" w:styleId="5">
    <w:name w:val="heading 3"/>
    <w:basedOn w:val="1"/>
    <w:next w:val="1"/>
    <w:link w:val="39"/>
    <w:qFormat/>
    <w:uiPriority w:val="99"/>
    <w:pPr>
      <w:pBdr>
        <w:top w:val="dotted" w:color="622423" w:sz="4" w:space="1"/>
        <w:bottom w:val="dotted" w:color="622423" w:sz="4" w:space="1"/>
      </w:pBdr>
      <w:spacing w:before="300"/>
      <w:jc w:val="center"/>
      <w:outlineLvl w:val="2"/>
    </w:pPr>
    <w:rPr>
      <w:caps/>
      <w:color w:val="622423"/>
      <w:sz w:val="24"/>
      <w:szCs w:val="24"/>
    </w:rPr>
  </w:style>
  <w:style w:type="paragraph" w:styleId="6">
    <w:name w:val="heading 4"/>
    <w:basedOn w:val="1"/>
    <w:next w:val="1"/>
    <w:link w:val="40"/>
    <w:qFormat/>
    <w:uiPriority w:val="99"/>
    <w:pPr>
      <w:pBdr>
        <w:bottom w:val="dotted" w:color="943734" w:sz="4" w:space="1"/>
      </w:pBdr>
      <w:spacing w:after="120"/>
      <w:jc w:val="center"/>
      <w:outlineLvl w:val="3"/>
    </w:pPr>
    <w:rPr>
      <w:caps/>
      <w:color w:val="622423"/>
      <w:spacing w:val="10"/>
    </w:rPr>
  </w:style>
  <w:style w:type="paragraph" w:styleId="7">
    <w:name w:val="heading 5"/>
    <w:basedOn w:val="1"/>
    <w:next w:val="1"/>
    <w:link w:val="41"/>
    <w:qFormat/>
    <w:uiPriority w:val="99"/>
    <w:pPr>
      <w:spacing w:before="320" w:after="120"/>
      <w:jc w:val="center"/>
      <w:outlineLvl w:val="4"/>
    </w:pPr>
    <w:rPr>
      <w:caps/>
      <w:color w:val="622423"/>
      <w:spacing w:val="10"/>
    </w:rPr>
  </w:style>
  <w:style w:type="paragraph" w:styleId="8">
    <w:name w:val="heading 6"/>
    <w:basedOn w:val="1"/>
    <w:next w:val="1"/>
    <w:link w:val="42"/>
    <w:qFormat/>
    <w:uiPriority w:val="99"/>
    <w:pPr>
      <w:spacing w:after="120"/>
      <w:jc w:val="center"/>
      <w:outlineLvl w:val="5"/>
    </w:pPr>
    <w:rPr>
      <w:caps/>
      <w:color w:val="943734"/>
      <w:spacing w:val="10"/>
    </w:rPr>
  </w:style>
  <w:style w:type="paragraph" w:styleId="9">
    <w:name w:val="heading 7"/>
    <w:basedOn w:val="1"/>
    <w:next w:val="1"/>
    <w:link w:val="43"/>
    <w:qFormat/>
    <w:uiPriority w:val="99"/>
    <w:pPr>
      <w:spacing w:after="120"/>
      <w:jc w:val="center"/>
      <w:outlineLvl w:val="6"/>
    </w:pPr>
    <w:rPr>
      <w:i/>
      <w:iCs/>
      <w:caps/>
      <w:color w:val="943734"/>
      <w:spacing w:val="10"/>
    </w:rPr>
  </w:style>
  <w:style w:type="paragraph" w:styleId="10">
    <w:name w:val="heading 8"/>
    <w:basedOn w:val="1"/>
    <w:next w:val="1"/>
    <w:link w:val="44"/>
    <w:qFormat/>
    <w:uiPriority w:val="99"/>
    <w:pPr>
      <w:spacing w:after="120"/>
      <w:jc w:val="center"/>
      <w:outlineLvl w:val="7"/>
    </w:pPr>
    <w:rPr>
      <w:caps/>
      <w:spacing w:val="10"/>
      <w:sz w:val="20"/>
      <w:szCs w:val="20"/>
    </w:rPr>
  </w:style>
  <w:style w:type="paragraph" w:styleId="11">
    <w:name w:val="heading 9"/>
    <w:basedOn w:val="1"/>
    <w:next w:val="1"/>
    <w:link w:val="45"/>
    <w:qFormat/>
    <w:uiPriority w:val="99"/>
    <w:pPr>
      <w:spacing w:after="120"/>
      <w:jc w:val="center"/>
      <w:outlineLvl w:val="8"/>
    </w:pPr>
    <w:rPr>
      <w:i/>
      <w:iCs/>
      <w:caps/>
      <w:spacing w:val="10"/>
      <w:sz w:val="20"/>
      <w:szCs w:val="20"/>
    </w:rPr>
  </w:style>
  <w:style w:type="character" w:default="1" w:styleId="22">
    <w:name w:val="Default Paragraph Font"/>
    <w:semiHidden/>
    <w:qFormat/>
    <w:uiPriority w:val="99"/>
  </w:style>
  <w:style w:type="table" w:default="1" w:styleId="20">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qFormat/>
    <w:locked/>
    <w:uiPriority w:val="0"/>
  </w:style>
  <w:style w:type="paragraph" w:styleId="12">
    <w:name w:val="caption"/>
    <w:basedOn w:val="1"/>
    <w:next w:val="1"/>
    <w:qFormat/>
    <w:uiPriority w:val="99"/>
    <w:rPr>
      <w:caps/>
      <w:spacing w:val="10"/>
      <w:sz w:val="18"/>
      <w:szCs w:val="18"/>
    </w:rPr>
  </w:style>
  <w:style w:type="paragraph" w:styleId="13">
    <w:name w:val="index 6"/>
    <w:basedOn w:val="1"/>
    <w:next w:val="1"/>
    <w:unhideWhenUsed/>
    <w:qFormat/>
    <w:locked/>
    <w:uiPriority w:val="99"/>
    <w:pPr>
      <w:ind w:left="1000" w:leftChars="1000"/>
    </w:pPr>
  </w:style>
  <w:style w:type="paragraph" w:styleId="14">
    <w:name w:val="Balloon Text"/>
    <w:basedOn w:val="1"/>
    <w:link w:val="46"/>
    <w:qFormat/>
    <w:uiPriority w:val="99"/>
    <w:rPr>
      <w:sz w:val="18"/>
      <w:szCs w:val="18"/>
    </w:rPr>
  </w:style>
  <w:style w:type="paragraph" w:styleId="15">
    <w:name w:val="footer"/>
    <w:basedOn w:val="1"/>
    <w:link w:val="47"/>
    <w:qFormat/>
    <w:uiPriority w:val="99"/>
    <w:pPr>
      <w:tabs>
        <w:tab w:val="center" w:pos="4153"/>
        <w:tab w:val="right" w:pos="8306"/>
      </w:tabs>
      <w:snapToGrid w:val="0"/>
    </w:pPr>
    <w:rPr>
      <w:sz w:val="18"/>
    </w:rPr>
  </w:style>
  <w:style w:type="paragraph" w:styleId="16">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Subtitle"/>
    <w:basedOn w:val="1"/>
    <w:next w:val="1"/>
    <w:link w:val="49"/>
    <w:qFormat/>
    <w:uiPriority w:val="99"/>
    <w:pPr>
      <w:spacing w:after="560"/>
      <w:jc w:val="center"/>
    </w:pPr>
    <w:rPr>
      <w:caps/>
      <w:spacing w:val="20"/>
      <w:sz w:val="18"/>
      <w:szCs w:val="18"/>
    </w:rPr>
  </w:style>
  <w:style w:type="paragraph" w:styleId="18">
    <w:name w:val="Normal (Web)"/>
    <w:basedOn w:val="1"/>
    <w:qFormat/>
    <w:uiPriority w:val="99"/>
    <w:pPr>
      <w:spacing w:before="100" w:beforeAutospacing="1" w:after="100" w:afterAutospacing="1"/>
    </w:pPr>
    <w:rPr>
      <w:rFonts w:ascii="宋体" w:hAnsi="宋体" w:cs="宋体"/>
      <w:sz w:val="24"/>
      <w:szCs w:val="24"/>
    </w:rPr>
  </w:style>
  <w:style w:type="paragraph" w:styleId="19">
    <w:name w:val="Title"/>
    <w:basedOn w:val="1"/>
    <w:next w:val="1"/>
    <w:link w:val="50"/>
    <w:qFormat/>
    <w:uiPriority w:val="99"/>
    <w:pPr>
      <w:pBdr>
        <w:top w:val="dotted" w:color="632423" w:sz="2" w:space="1"/>
        <w:bottom w:val="dotted" w:color="632423" w:sz="2" w:space="6"/>
      </w:pBdr>
      <w:spacing w:before="500" w:after="300"/>
      <w:jc w:val="center"/>
    </w:pPr>
    <w:rPr>
      <w:caps/>
      <w:color w:val="632423"/>
      <w:spacing w:val="50"/>
      <w:sz w:val="44"/>
      <w:szCs w:val="44"/>
    </w:rPr>
  </w:style>
  <w:style w:type="table" w:styleId="21">
    <w:name w:val="Table Grid"/>
    <w:basedOn w:val="20"/>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cs="Times New Roman"/>
      <w:b/>
      <w:color w:val="943734"/>
      <w:spacing w:val="5"/>
    </w:rPr>
  </w:style>
  <w:style w:type="character" w:styleId="24">
    <w:name w:val="page number"/>
    <w:basedOn w:val="22"/>
    <w:qFormat/>
    <w:uiPriority w:val="99"/>
    <w:rPr>
      <w:rFonts w:cs="Times New Roman"/>
    </w:rPr>
  </w:style>
  <w:style w:type="character" w:styleId="25">
    <w:name w:val="Emphasis"/>
    <w:basedOn w:val="22"/>
    <w:qFormat/>
    <w:uiPriority w:val="99"/>
    <w:rPr>
      <w:rFonts w:cs="Times New Roman"/>
      <w:caps/>
      <w:spacing w:val="5"/>
      <w:sz w:val="20"/>
    </w:rPr>
  </w:style>
  <w:style w:type="character" w:styleId="26">
    <w:name w:val="Hyperlink"/>
    <w:basedOn w:val="22"/>
    <w:qFormat/>
    <w:uiPriority w:val="99"/>
    <w:rPr>
      <w:rFonts w:cs="Times New Roman"/>
      <w:color w:val="0000FF"/>
      <w:u w:val="single"/>
    </w:rPr>
  </w:style>
  <w:style w:type="paragraph" w:customStyle="1" w:styleId="27">
    <w:name w:val="List Paragraph1"/>
    <w:basedOn w:val="1"/>
    <w:qFormat/>
    <w:uiPriority w:val="99"/>
    <w:pPr>
      <w:ind w:left="720"/>
      <w:contextualSpacing/>
    </w:pPr>
  </w:style>
  <w:style w:type="paragraph" w:customStyle="1" w:styleId="28">
    <w:name w:val="No Spacing1"/>
    <w:basedOn w:val="1"/>
    <w:link w:val="58"/>
    <w:qFormat/>
    <w:uiPriority w:val="99"/>
  </w:style>
  <w:style w:type="paragraph" w:customStyle="1" w:styleId="29">
    <w:name w:val="Intense Quote1"/>
    <w:basedOn w:val="1"/>
    <w:next w:val="1"/>
    <w:link w:val="54"/>
    <w:qFormat/>
    <w:uiPriority w:val="99"/>
    <w:pPr>
      <w:pBdr>
        <w:top w:val="dotted" w:color="632423" w:sz="2" w:space="10"/>
        <w:bottom w:val="dotted" w:color="632423" w:sz="2" w:space="4"/>
      </w:pBdr>
      <w:spacing w:before="160" w:line="300" w:lineRule="auto"/>
      <w:ind w:left="1440" w:right="1440"/>
    </w:pPr>
    <w:rPr>
      <w:caps/>
      <w:color w:val="622423"/>
      <w:spacing w:val="5"/>
      <w:sz w:val="20"/>
      <w:szCs w:val="20"/>
    </w:rPr>
  </w:style>
  <w:style w:type="paragraph" w:customStyle="1" w:styleId="30">
    <w:name w:val="Quote1"/>
    <w:basedOn w:val="1"/>
    <w:next w:val="1"/>
    <w:link w:val="53"/>
    <w:qFormat/>
    <w:uiPriority w:val="99"/>
    <w:rPr>
      <w:i/>
      <w:iCs/>
    </w:rPr>
  </w:style>
  <w:style w:type="paragraph" w:customStyle="1" w:styleId="31">
    <w:name w:val="TOC Heading1"/>
    <w:basedOn w:val="3"/>
    <w:next w:val="1"/>
    <w:qFormat/>
    <w:uiPriority w:val="99"/>
    <w:pPr>
      <w:outlineLvl w:val="9"/>
    </w:pPr>
  </w:style>
  <w:style w:type="paragraph" w:customStyle="1" w:styleId="32">
    <w:name w:val="_Style 1"/>
    <w:basedOn w:val="1"/>
    <w:next w:val="18"/>
    <w:qFormat/>
    <w:uiPriority w:val="99"/>
    <w:pPr>
      <w:spacing w:before="100" w:beforeAutospacing="1" w:after="100" w:afterAutospacing="1"/>
    </w:pPr>
    <w:rPr>
      <w:rFonts w:ascii="宋体" w:hAnsi="宋体"/>
      <w:color w:val="000000"/>
      <w:sz w:val="24"/>
    </w:rPr>
  </w:style>
  <w:style w:type="paragraph" w:customStyle="1" w:styleId="33">
    <w:name w:val="正文 New"/>
    <w:qFormat/>
    <w:uiPriority w:val="99"/>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 w:type="paragraph" w:customStyle="1" w:styleId="34">
    <w:name w:val="Plain Text"/>
    <w:qFormat/>
    <w:uiPriority w:val="0"/>
    <w:rPr>
      <w:rFonts w:ascii="宋体" w:hAnsi="Courier New" w:eastAsia="宋体" w:cs="Courier New"/>
      <w:sz w:val="21"/>
      <w:szCs w:val="21"/>
      <w:lang w:val="en-US" w:eastAsia="zh-CN" w:bidi="ar-SA"/>
    </w:rPr>
  </w:style>
  <w:style w:type="paragraph" w:customStyle="1" w:styleId="35">
    <w:name w:val="footer"/>
    <w:basedOn w:val="1"/>
    <w:qFormat/>
    <w:uiPriority w:val="0"/>
    <w:pPr>
      <w:tabs>
        <w:tab w:val="center" w:pos="4153"/>
        <w:tab w:val="right" w:pos="8306"/>
      </w:tabs>
      <w:snapToGrid w:val="0"/>
      <w:jc w:val="left"/>
    </w:pPr>
    <w:rPr>
      <w:rFonts w:ascii="Times New Roman" w:hAnsi="Times New Roman" w:eastAsia="仿宋_GB2312" w:cs="Times New Roman"/>
      <w:sz w:val="18"/>
      <w:szCs w:val="18"/>
    </w:rPr>
  </w:style>
  <w:style w:type="paragraph" w:customStyle="1" w:styleId="3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character" w:customStyle="1" w:styleId="37">
    <w:name w:val="Heading 1 Char"/>
    <w:basedOn w:val="22"/>
    <w:link w:val="3"/>
    <w:qFormat/>
    <w:locked/>
    <w:uiPriority w:val="99"/>
    <w:rPr>
      <w:rFonts w:cs="Times New Roman"/>
      <w:caps/>
      <w:color w:val="632423"/>
      <w:spacing w:val="20"/>
      <w:sz w:val="28"/>
      <w:szCs w:val="28"/>
    </w:rPr>
  </w:style>
  <w:style w:type="character" w:customStyle="1" w:styleId="38">
    <w:name w:val="Heading 2 Char"/>
    <w:basedOn w:val="22"/>
    <w:link w:val="4"/>
    <w:semiHidden/>
    <w:qFormat/>
    <w:locked/>
    <w:uiPriority w:val="99"/>
    <w:rPr>
      <w:rFonts w:cs="Times New Roman"/>
      <w:caps/>
      <w:color w:val="632423"/>
      <w:spacing w:val="15"/>
      <w:sz w:val="24"/>
      <w:szCs w:val="24"/>
    </w:rPr>
  </w:style>
  <w:style w:type="character" w:customStyle="1" w:styleId="39">
    <w:name w:val="Heading 3 Char"/>
    <w:basedOn w:val="22"/>
    <w:link w:val="5"/>
    <w:semiHidden/>
    <w:qFormat/>
    <w:locked/>
    <w:uiPriority w:val="99"/>
    <w:rPr>
      <w:rFonts w:cs="Times New Roman"/>
      <w:caps/>
      <w:color w:val="622423"/>
      <w:sz w:val="24"/>
      <w:szCs w:val="24"/>
    </w:rPr>
  </w:style>
  <w:style w:type="character" w:customStyle="1" w:styleId="40">
    <w:name w:val="Heading 4 Char"/>
    <w:basedOn w:val="22"/>
    <w:link w:val="6"/>
    <w:semiHidden/>
    <w:qFormat/>
    <w:locked/>
    <w:uiPriority w:val="99"/>
    <w:rPr>
      <w:rFonts w:cs="Times New Roman"/>
      <w:caps/>
      <w:color w:val="622423"/>
      <w:spacing w:val="10"/>
    </w:rPr>
  </w:style>
  <w:style w:type="character" w:customStyle="1" w:styleId="41">
    <w:name w:val="Heading 5 Char"/>
    <w:basedOn w:val="22"/>
    <w:link w:val="7"/>
    <w:semiHidden/>
    <w:qFormat/>
    <w:locked/>
    <w:uiPriority w:val="99"/>
    <w:rPr>
      <w:rFonts w:cs="Times New Roman"/>
      <w:caps/>
      <w:color w:val="622423"/>
      <w:spacing w:val="10"/>
    </w:rPr>
  </w:style>
  <w:style w:type="character" w:customStyle="1" w:styleId="42">
    <w:name w:val="Heading 6 Char"/>
    <w:basedOn w:val="22"/>
    <w:link w:val="8"/>
    <w:semiHidden/>
    <w:qFormat/>
    <w:locked/>
    <w:uiPriority w:val="99"/>
    <w:rPr>
      <w:rFonts w:cs="Times New Roman"/>
      <w:caps/>
      <w:color w:val="943734"/>
      <w:spacing w:val="10"/>
    </w:rPr>
  </w:style>
  <w:style w:type="character" w:customStyle="1" w:styleId="43">
    <w:name w:val="Heading 7 Char"/>
    <w:basedOn w:val="22"/>
    <w:link w:val="9"/>
    <w:semiHidden/>
    <w:qFormat/>
    <w:locked/>
    <w:uiPriority w:val="99"/>
    <w:rPr>
      <w:rFonts w:cs="Times New Roman"/>
      <w:i/>
      <w:iCs/>
      <w:caps/>
      <w:color w:val="943734"/>
      <w:spacing w:val="10"/>
    </w:rPr>
  </w:style>
  <w:style w:type="character" w:customStyle="1" w:styleId="44">
    <w:name w:val="Heading 8 Char"/>
    <w:basedOn w:val="22"/>
    <w:link w:val="10"/>
    <w:semiHidden/>
    <w:qFormat/>
    <w:locked/>
    <w:uiPriority w:val="99"/>
    <w:rPr>
      <w:rFonts w:cs="Times New Roman"/>
      <w:caps/>
      <w:spacing w:val="10"/>
      <w:sz w:val="20"/>
      <w:szCs w:val="20"/>
    </w:rPr>
  </w:style>
  <w:style w:type="character" w:customStyle="1" w:styleId="45">
    <w:name w:val="Heading 9 Char"/>
    <w:basedOn w:val="22"/>
    <w:link w:val="11"/>
    <w:semiHidden/>
    <w:qFormat/>
    <w:locked/>
    <w:uiPriority w:val="99"/>
    <w:rPr>
      <w:rFonts w:cs="Times New Roman"/>
      <w:i/>
      <w:iCs/>
      <w:caps/>
      <w:spacing w:val="10"/>
      <w:sz w:val="20"/>
      <w:szCs w:val="20"/>
    </w:rPr>
  </w:style>
  <w:style w:type="character" w:customStyle="1" w:styleId="46">
    <w:name w:val="Balloon Text Char"/>
    <w:basedOn w:val="22"/>
    <w:link w:val="14"/>
    <w:semiHidden/>
    <w:qFormat/>
    <w:locked/>
    <w:uiPriority w:val="99"/>
    <w:rPr>
      <w:rFonts w:cs="Times New Roman"/>
      <w:sz w:val="18"/>
      <w:szCs w:val="18"/>
    </w:rPr>
  </w:style>
  <w:style w:type="character" w:customStyle="1" w:styleId="47">
    <w:name w:val="Footer Char"/>
    <w:basedOn w:val="22"/>
    <w:link w:val="15"/>
    <w:semiHidden/>
    <w:qFormat/>
    <w:locked/>
    <w:uiPriority w:val="99"/>
    <w:rPr>
      <w:rFonts w:eastAsia="仿宋_GB2312" w:cs="Times New Roman"/>
      <w:kern w:val="0"/>
      <w:sz w:val="18"/>
      <w:szCs w:val="18"/>
    </w:rPr>
  </w:style>
  <w:style w:type="character" w:customStyle="1" w:styleId="48">
    <w:name w:val="Header Char"/>
    <w:basedOn w:val="22"/>
    <w:link w:val="16"/>
    <w:semiHidden/>
    <w:qFormat/>
    <w:locked/>
    <w:uiPriority w:val="99"/>
    <w:rPr>
      <w:rFonts w:eastAsia="仿宋_GB2312" w:cs="Times New Roman"/>
      <w:kern w:val="0"/>
      <w:sz w:val="18"/>
      <w:szCs w:val="18"/>
    </w:rPr>
  </w:style>
  <w:style w:type="character" w:customStyle="1" w:styleId="49">
    <w:name w:val="Subtitle Char"/>
    <w:basedOn w:val="22"/>
    <w:link w:val="17"/>
    <w:qFormat/>
    <w:locked/>
    <w:uiPriority w:val="99"/>
    <w:rPr>
      <w:rFonts w:cs="Times New Roman"/>
      <w:caps/>
      <w:spacing w:val="20"/>
      <w:sz w:val="18"/>
      <w:szCs w:val="18"/>
    </w:rPr>
  </w:style>
  <w:style w:type="character" w:customStyle="1" w:styleId="50">
    <w:name w:val="Title Char"/>
    <w:basedOn w:val="22"/>
    <w:link w:val="19"/>
    <w:qFormat/>
    <w:locked/>
    <w:uiPriority w:val="99"/>
    <w:rPr>
      <w:rFonts w:cs="Times New Roman"/>
      <w:caps/>
      <w:color w:val="632423"/>
      <w:spacing w:val="50"/>
      <w:sz w:val="44"/>
      <w:szCs w:val="44"/>
    </w:rPr>
  </w:style>
  <w:style w:type="character" w:customStyle="1" w:styleId="51">
    <w:name w:val="Intense Reference1"/>
    <w:qFormat/>
    <w:uiPriority w:val="99"/>
    <w:rPr>
      <w:rFonts w:ascii="Tw Cen MT" w:hAnsi="Tw Cen MT" w:eastAsia="华文仿宋"/>
      <w:b/>
      <w:i/>
      <w:color w:val="622423"/>
    </w:rPr>
  </w:style>
  <w:style w:type="character" w:customStyle="1" w:styleId="52">
    <w:name w:val="Subtle Reference1"/>
    <w:basedOn w:val="22"/>
    <w:qFormat/>
    <w:uiPriority w:val="99"/>
    <w:rPr>
      <w:rFonts w:ascii="Tw Cen MT" w:hAnsi="Tw Cen MT" w:eastAsia="华文仿宋" w:cs="Times New Roman"/>
      <w:i/>
      <w:iCs/>
      <w:color w:val="622423"/>
    </w:rPr>
  </w:style>
  <w:style w:type="character" w:customStyle="1" w:styleId="53">
    <w:name w:val="引用 Char"/>
    <w:basedOn w:val="22"/>
    <w:link w:val="30"/>
    <w:qFormat/>
    <w:locked/>
    <w:uiPriority w:val="99"/>
    <w:rPr>
      <w:rFonts w:cs="Times New Roman"/>
      <w:i/>
      <w:iCs/>
    </w:rPr>
  </w:style>
  <w:style w:type="character" w:customStyle="1" w:styleId="54">
    <w:name w:val="明显引用 Char"/>
    <w:basedOn w:val="22"/>
    <w:link w:val="29"/>
    <w:qFormat/>
    <w:locked/>
    <w:uiPriority w:val="99"/>
    <w:rPr>
      <w:rFonts w:cs="Times New Roman"/>
      <w:caps/>
      <w:color w:val="622423"/>
      <w:spacing w:val="5"/>
      <w:sz w:val="20"/>
      <w:szCs w:val="20"/>
    </w:rPr>
  </w:style>
  <w:style w:type="character" w:customStyle="1" w:styleId="55">
    <w:name w:val="Subtle Emphasis1"/>
    <w:qFormat/>
    <w:uiPriority w:val="99"/>
    <w:rPr>
      <w:i/>
    </w:rPr>
  </w:style>
  <w:style w:type="character" w:customStyle="1" w:styleId="56">
    <w:name w:val="Book Title1"/>
    <w:qFormat/>
    <w:uiPriority w:val="99"/>
    <w:rPr>
      <w:caps/>
      <w:color w:val="622423"/>
      <w:spacing w:val="5"/>
    </w:rPr>
  </w:style>
  <w:style w:type="character" w:customStyle="1" w:styleId="57">
    <w:name w:val="Intense Emphasis1"/>
    <w:qFormat/>
    <w:uiPriority w:val="99"/>
    <w:rPr>
      <w:i/>
      <w:caps/>
      <w:spacing w:val="10"/>
      <w:sz w:val="20"/>
    </w:rPr>
  </w:style>
  <w:style w:type="character" w:customStyle="1" w:styleId="58">
    <w:name w:val="无间隔 Char"/>
    <w:basedOn w:val="22"/>
    <w:link w:val="28"/>
    <w:qFormat/>
    <w:locked/>
    <w:uiPriority w:val="99"/>
    <w:rPr>
      <w:rFonts w:cs="Times New Roman"/>
    </w:rPr>
  </w:style>
  <w:style w:type="character" w:customStyle="1" w:styleId="59">
    <w:name w:val="page number"/>
    <w:basedOn w:val="22"/>
    <w:qFormat/>
    <w:uiPriority w:val="0"/>
    <w:rPr>
      <w:rFonts w:cs="Times New Roman"/>
    </w:rPr>
  </w:style>
  <w:style w:type="paragraph" w:customStyle="1" w:styleId="60">
    <w:name w:val="Other|1"/>
    <w:basedOn w:val="1"/>
    <w:qFormat/>
    <w:uiPriority w:val="0"/>
    <w:pPr>
      <w:shd w:val="clear" w:color="auto" w:fill="FFFFFF"/>
      <w:spacing w:line="293" w:lineRule="exact"/>
      <w:ind w:firstLine="520"/>
      <w:jc w:val="left"/>
    </w:pPr>
    <w:rPr>
      <w:rFonts w:ascii="楷体" w:hAnsi="楷体" w:eastAsia="楷体" w:cs="宋体"/>
      <w:color w:val="000000"/>
      <w:kern w:val="0"/>
      <w:sz w:val="22"/>
      <w:szCs w:val="22"/>
    </w:rPr>
  </w:style>
  <w:style w:type="paragraph" w:customStyle="1" w:styleId="61">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36</Pages>
  <Words>3498</Words>
  <Characters>19941</Characters>
  <Lines>0</Lines>
  <Paragraphs>0</Paragraphs>
  <TotalTime>46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2017-03-17T23:34:00Z</dcterms:created>
  <dc:creator>_</dc:creator>
  <cp:lastModifiedBy>韵～</cp:lastModifiedBy>
  <cp:lastPrinted>2020-01-21T22:23:00Z</cp:lastPrinted>
  <dcterms:modified xsi:type="dcterms:W3CDTF">2025-05-08T07:55:19Z</dcterms:modified>
  <dc:title>湖北省人力资源市场条例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06D239023EE8A66BD1151C68B6054A0A</vt:lpwstr>
  </property>
</Properties>
</file>