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Style w:val="6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5"/>
          <w:sz w:val="44"/>
          <w:szCs w:val="44"/>
          <w:shd w:val="clear" w:color="0A0000" w:fill="FFFFFF"/>
          <w:lang w:val="en-US" w:eastAsia="zh-CN"/>
        </w:rPr>
      </w:pPr>
      <w:bookmarkStart w:id="0" w:name="_GoBack"/>
      <w:r>
        <w:rPr>
          <w:rStyle w:val="6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5"/>
          <w:sz w:val="44"/>
          <w:szCs w:val="44"/>
          <w:shd w:val="clear" w:color="0A0000" w:fill="FFFFFF"/>
          <w:lang w:val="en-US" w:eastAsia="zh-CN"/>
        </w:rPr>
        <w:t>湖北省第一届</w:t>
      </w:r>
      <w:r>
        <w:rPr>
          <w:rStyle w:val="6"/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5"/>
          <w:sz w:val="44"/>
          <w:szCs w:val="44"/>
          <w:shd w:val="clear" w:color="0A0000" w:fill="FFFFFF"/>
          <w:lang w:val="en-US" w:eastAsia="zh-CN"/>
        </w:rPr>
        <w:t>行政执法社会监督员</w:t>
      </w:r>
      <w:r>
        <w:rPr>
          <w:rStyle w:val="6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5"/>
          <w:sz w:val="44"/>
          <w:szCs w:val="44"/>
          <w:shd w:val="clear" w:color="0A0000" w:fill="FFFFFF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Style w:val="6"/>
          <w:rFonts w:hint="default" w:ascii="Times New Roman" w:hAnsi="Times New Roman" w:eastAsia="方正小标宋_GBK" w:cs="Times New Roman"/>
          <w:b/>
          <w:bCs w:val="0"/>
          <w:i w:val="0"/>
          <w:caps w:val="0"/>
          <w:color w:val="auto"/>
          <w:spacing w:val="5"/>
          <w:sz w:val="44"/>
          <w:szCs w:val="44"/>
          <w:shd w:val="clear" w:color="0A0000" w:fill="FFFFFF"/>
          <w:lang w:val="en-US" w:eastAsia="zh-CN"/>
        </w:rPr>
      </w:pPr>
    </w:p>
    <w:tbl>
      <w:tblPr>
        <w:tblStyle w:val="4"/>
        <w:tblW w:w="925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718"/>
        <w:gridCol w:w="7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江国华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教授、博导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黄明涛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冉克平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教授、博导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黄玉烨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中南财经政法大学知识产权学院院长、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教授、博导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方世荣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中南财经政法大学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教授、博导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秦小建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中南财经政法大学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申来金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教授、博导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潘红祥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中南民族大学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法学院院长、教授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黄  俭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省人大常委会委员、省人大监察和司法委员会副主任委员，省委党校（省行政学院）副校（院）长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胡应海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省人大常委会委员、省人大社会建设委员会副主任委员，省民政厅副厅长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占志启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6"/>
                <w:sz w:val="32"/>
                <w:szCs w:val="32"/>
                <w:lang w:val="en-US" w:eastAsia="zh-CN"/>
              </w:rPr>
              <w:t>全国人大代表、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6"/>
                <w:sz w:val="32"/>
                <w:szCs w:val="32"/>
                <w:lang w:eastAsia="zh-CN"/>
              </w:rPr>
              <w:t>州市鄂城区长港镇峒山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6"/>
                <w:sz w:val="32"/>
                <w:szCs w:val="32"/>
                <w:lang w:val="en-US" w:eastAsia="zh-CN"/>
              </w:rPr>
              <w:t>村村委会主任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磊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武汉市教育局副局长、教授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丹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武汉市江汉区办公室副主任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悦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武汉市江汉区政府副区长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胡正伟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湖北省高级人民法院行政庭审判员、三级高级法官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施何梅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武汉市中级人民法院行政庭副庭长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张鸿冰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汉川市人民法院审判委员会专职委员、行政庭庭长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汪小丽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湖北省人民检察院四级高级检察官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武汉市人民检察院四级高级检察官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李光海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十堰市郧阳区人民检察院四级高级检察官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彭  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省发改委法规处（营商环境建设处）一级主任科员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孙  凯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省发改委法规处（营商环境建设处）三级主任科员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叶华军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武汉鑫豪门智能门有限公司总经理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盛祝云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湖北大有工程咨询有限公司董事长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严昌明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湖北吴都药业有限公司总经理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  俊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湖北三泉物业管理有限公司总经理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王海伦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云梦玉丰国际大酒店执行总经理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斌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湖北香润生态农业科技有限公司董事长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冯祥华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湖北祥龙聚食惠餐饮服务有限公司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张继东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vertAlign w:val="baseline"/>
                <w:lang w:eastAsia="zh-CN"/>
              </w:rPr>
              <w:t>黄石市新源汽车销售有限公司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麻城根源有限责任公司董事长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蒋美丰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湖北九控检测有限公司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陈代灿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湖北华梦城市服务有限公司董事长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俊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襄阳市回隆机动车驾驶员培训学校校长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陈华柱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Hans"/>
              </w:rPr>
              <w:t>湖北配齐网络科技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谭海平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湖北昌海物业服务有限公司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周光军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湖北海王德明医药有限公司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罗绪军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湖北梨花村贸易有限公司董事长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高  林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宝业湖北建工集团有限公司党委书记、总经理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刘长云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九州通医药集团股份有限公司董事长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范双涛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武汉华天园林集团有限公司董事长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金  海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湖北长江电气有限公司总裁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李  刚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湖北国电大全工程技术有限公司董事长，湖北电工联盟建设管理有限公司董事长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赵书均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湖北天泽恒地建筑工程有限公司董事长、湖北省建筑劳务协会会长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谢清伦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盛隆电气集团有限公司副董事长兼总经理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冉建波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湖北安捷物流有限公司董事长、湖北省重庆商会会长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李树锋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湖北华商智联教育科技股份有限公司董事长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李兴东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郁金香（武汉）家居用品有限公司董事长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李万军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亚瑞生物科技集团有限公司董事长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张超纲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武汉蓝天新特药业有限公司董事长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解  砺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湖北省数字和信息产业集团股份有限公司董事长、红桃开集团股份有限公司执行总裁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孙  强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湖北省青海商会会长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龚卫兵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武汉华源网通电力有限公司、武汉阿尔普智能电气有限公司总经理、湖北省湖南商会执行会长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陈顺刚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湖北陈氏詹王实业有限公司董事长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任  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武汉头等舱科技股份有限公司董事长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余忠玉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湖北固恒人防智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6"/>
                <w:sz w:val="32"/>
                <w:szCs w:val="32"/>
                <w:lang w:val="en-US" w:eastAsia="zh-CN"/>
              </w:rPr>
              <w:t>能工程有限公司董事长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郭  登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至业控股集团有限公司董事长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胡文锋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中铁大桥局法律合规部部长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罗贝贝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湖北文旅集团法务风控部副部长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杨红兵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湖北铁路集团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法务审计部部长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杨  玲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中南建筑设计院法务部负责人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曾  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湖北联投集团风控法务部副部长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曾  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湖北宏泰集团风险管理部副部长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  睿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葛洲坝集团法律与合规部副主任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琛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湖北交投集团法律合规部副部长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周寿江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湖北日报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主任记者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饶纯武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湖北日报高级记者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贝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楚天都市报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·极目新闻记者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邱玲鹏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荆楚网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政法事业部主任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俊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湖北广播电视台新闻中心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张丽宁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eastAsia="zh-CN"/>
              </w:rPr>
              <w:t>湖北广播电视台电视综合频道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制片人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王中豪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湖北广播电视台电视经济频道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湖北广播电视台交通广播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昊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湖北元申律师事务所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执行主任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凌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湖北今天律师事务所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一级合伙人、二级律师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伟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湖北维思德律师事务所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曦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湖北立丰律师事务所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浩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湖北晨丰律师事务所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晶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湖北瑞通天元律师事务所副主任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三级律师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许圣国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湖北思捷律师事务所执行主任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孙才华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北京中伦（武汉）律师事务所合伙人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斌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湖北新天律师事务所专职律师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宫步坦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湖北黄鹤律师事务所首席执行合伙人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涛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湖北维力律师事务所主任、党支部书记、二级律师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谢文敏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湖北首义律师事务所律师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湖北得伟君尚（湖北自贸区武汉片区）律师事务所三级律师、党支部书记、高级合伙人、副主任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刚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湖北松之盛律师事务所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级合伙人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勇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湖北诺言律师事务所二级律师、法学博士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阳  波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北京市重光（武汉）律师事务所律所主任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顾  俊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湖北华隽律师事务所律所主任、律师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吴林升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湖北万泽律师事务所律所高级合伙人、律师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张曙光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  <w:t>北京中伦（武汉）律师事务所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律所合伙人、律师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黎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湖北省武汉市楚信公证处主任科员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吴永鸽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武汉市琴台公证处副主任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明蓉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武汉市江天公证处二级公证员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伍群合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襄阳市襄阳公证处四级公证员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刘秀琴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宜昌市三峡公证处主任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  <w:t>武汉仲裁委员会一级秘书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田炎林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宜昌仲裁委员会办公室主任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刘汉平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7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十堰仲裁委员会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秘书处综合部部长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4" w:firstLineChars="200"/>
        <w:textAlignment w:val="auto"/>
        <w:rPr>
          <w:sz w:val="32"/>
        </w:rPr>
      </w:pPr>
    </w:p>
    <w:p/>
    <w:sectPr>
      <w:footerReference r:id="rId3" w:type="default"/>
      <w:pgSz w:w="11906" w:h="16838"/>
      <w:pgMar w:top="2098" w:right="1587" w:bottom="1531" w:left="1587" w:header="851" w:footer="992" w:gutter="0"/>
      <w:pgNumType w:fmt="decimal"/>
      <w:cols w:space="72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E04CC"/>
    <w:rsid w:val="39C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50" w:beforeLines="50" w:beforeAutospacing="0" w:after="50" w:afterLines="50" w:afterAutospacing="0"/>
      <w:jc w:val="left"/>
      <w:outlineLvl w:val="1"/>
    </w:pPr>
    <w:rPr>
      <w:rFonts w:hint="eastAsia" w:ascii="宋体" w:hAnsi="宋体" w:eastAsia="黑体" w:cs="黑体"/>
      <w:b/>
      <w:kern w:val="0"/>
      <w:sz w:val="32"/>
      <w:szCs w:val="32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2024-01-05T08:07:00Z</dcterms:created>
  <dc:creator>韵～</dc:creator>
  <cp:lastModifiedBy>韵～</cp:lastModifiedBy>
  <dcterms:modified xsi:type="dcterms:W3CDTF">2024-01-05T08:13:46Z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