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topLinePunct w:val="1"/>
        <w:adjustRightInd/>
        <w:spacing w:before="156" w:beforeLines="50" w:after="156" w:afterLines="50" w:line="560" w:lineRule="exact"/>
        <w:jc w:val="center"/>
        <w:rPr>
          <w:rFonts w:eastAsia="仿宋_GB2312"/>
          <w:b/>
          <w:color w:val="000000"/>
          <w:sz w:val="48"/>
          <w:szCs w:val="48"/>
        </w:rPr>
      </w:pPr>
    </w:p>
    <w:p>
      <w:pPr>
        <w:wordWrap/>
        <w:topLinePunct w:val="1"/>
        <w:adjustRightInd/>
        <w:spacing w:before="156" w:beforeLines="50" w:after="156" w:afterLines="50" w:line="560" w:lineRule="exact"/>
        <w:jc w:val="center"/>
        <w:rPr>
          <w:rFonts w:eastAsia="仿宋_GB2312"/>
          <w:b/>
          <w:color w:val="000000"/>
          <w:sz w:val="48"/>
          <w:szCs w:val="48"/>
        </w:rPr>
      </w:pPr>
    </w:p>
    <w:p>
      <w:pPr>
        <w:topLinePunct w:val="1"/>
        <w:adjustRightInd/>
        <w:spacing w:before="156" w:beforeLines="50" w:after="156" w:afterLines="50" w:line="560" w:lineRule="exact"/>
        <w:jc w:val="center"/>
        <w:rPr>
          <w:rFonts w:hint="eastAsia" w:eastAsia="方正小标宋简体"/>
          <w:b/>
          <w:color w:val="000000"/>
          <w:sz w:val="48"/>
          <w:szCs w:val="48"/>
          <w:lang w:eastAsia="zh-CN"/>
        </w:rPr>
      </w:pPr>
      <w:r>
        <w:rPr>
          <w:rFonts w:hint="eastAsia" w:eastAsia="方正小标宋简体"/>
          <w:b/>
          <w:color w:val="000000"/>
          <w:sz w:val="48"/>
          <w:szCs w:val="48"/>
          <w:lang w:eastAsia="zh-CN"/>
        </w:rPr>
        <w:t>湖北省预算绩效自评报告</w:t>
      </w:r>
    </w:p>
    <w:p>
      <w:pPr>
        <w:topLinePunct w:val="1"/>
        <w:adjustRightInd/>
        <w:spacing w:before="156" w:beforeLines="50" w:after="156" w:afterLines="50" w:line="560" w:lineRule="exact"/>
        <w:jc w:val="center"/>
        <w:rPr>
          <w:rFonts w:hint="eastAsia" w:eastAsia="方正小标宋简体"/>
          <w:b/>
          <w:color w:val="000000"/>
          <w:sz w:val="48"/>
          <w:szCs w:val="48"/>
          <w:lang w:eastAsia="zh-CN"/>
        </w:rPr>
      </w:pPr>
      <w:r>
        <w:rPr>
          <w:rFonts w:hint="eastAsia" w:eastAsia="方正小标宋简体"/>
          <w:b/>
          <w:color w:val="000000"/>
          <w:sz w:val="48"/>
          <w:szCs w:val="48"/>
          <w:lang w:eastAsia="zh-CN"/>
        </w:rPr>
        <w:t>（</w:t>
      </w:r>
      <w:r>
        <w:rPr>
          <w:rFonts w:hint="eastAsia" w:eastAsia="方正小标宋简体"/>
          <w:b/>
          <w:color w:val="000000"/>
          <w:sz w:val="48"/>
          <w:szCs w:val="48"/>
          <w:lang w:val="en-US" w:eastAsia="zh-CN"/>
        </w:rPr>
        <w:t>2020</w:t>
      </w:r>
      <w:r>
        <w:rPr>
          <w:rFonts w:hint="eastAsia" w:eastAsia="方正小标宋简体"/>
          <w:b/>
          <w:color w:val="000000"/>
          <w:sz w:val="48"/>
          <w:szCs w:val="48"/>
          <w:lang w:eastAsia="zh-CN"/>
        </w:rPr>
        <w:t>年度）</w:t>
      </w:r>
    </w:p>
    <w:p>
      <w:pPr>
        <w:topLinePunct w:val="1"/>
        <w:adjustRightInd/>
        <w:spacing w:line="560" w:lineRule="exact"/>
        <w:jc w:val="center"/>
        <w:rPr>
          <w:b/>
          <w:color w:val="000000"/>
          <w:sz w:val="44"/>
          <w:szCs w:val="44"/>
        </w:rPr>
      </w:pPr>
    </w:p>
    <w:p>
      <w:pPr>
        <w:topLinePunct w:val="1"/>
        <w:adjustRightInd/>
        <w:spacing w:line="560" w:lineRule="exact"/>
        <w:jc w:val="center"/>
        <w:rPr>
          <w:b/>
          <w:color w:val="000000"/>
          <w:sz w:val="44"/>
          <w:szCs w:val="44"/>
        </w:rPr>
      </w:pPr>
    </w:p>
    <w:p>
      <w:pPr>
        <w:pStyle w:val="14"/>
        <w:adjustRightInd/>
        <w:spacing w:line="560" w:lineRule="exact"/>
        <w:rPr>
          <w:b/>
          <w:color w:val="000000"/>
          <w:sz w:val="44"/>
          <w:szCs w:val="44"/>
        </w:rPr>
      </w:pPr>
    </w:p>
    <w:p>
      <w:pPr>
        <w:pStyle w:val="14"/>
        <w:adjustRightInd/>
        <w:spacing w:line="560" w:lineRule="exact"/>
        <w:rPr>
          <w:b/>
          <w:color w:val="000000"/>
          <w:sz w:val="44"/>
          <w:szCs w:val="44"/>
        </w:rPr>
      </w:pPr>
    </w:p>
    <w:p>
      <w:pPr>
        <w:pStyle w:val="14"/>
        <w:adjustRightInd/>
        <w:spacing w:line="560" w:lineRule="exact"/>
      </w:pPr>
    </w:p>
    <w:p>
      <w:pPr>
        <w:topLinePunct w:val="1"/>
        <w:adjustRightInd/>
        <w:spacing w:before="312" w:beforeLines="100" w:after="312" w:afterLines="100" w:line="560" w:lineRule="exact"/>
        <w:ind w:firstLine="643" w:firstLineChars="200"/>
        <w:rPr>
          <w:rFonts w:eastAsia="仿宋_GB2312"/>
          <w:b/>
          <w:bCs/>
          <w:kern w:val="0"/>
          <w:sz w:val="32"/>
          <w:szCs w:val="32"/>
        </w:rPr>
      </w:pPr>
      <w:r>
        <w:rPr>
          <w:rFonts w:eastAsia="仿宋_GB2312"/>
          <w:b/>
          <w:bCs/>
          <w:kern w:val="0"/>
          <w:sz w:val="32"/>
          <w:szCs w:val="32"/>
        </w:rPr>
        <w:t>项目名称：</w:t>
      </w:r>
      <w:r>
        <w:rPr>
          <w:rFonts w:hint="eastAsia" w:eastAsia="仿宋_GB2312"/>
          <w:b/>
          <w:bCs/>
          <w:kern w:val="0"/>
          <w:sz w:val="32"/>
          <w:szCs w:val="32"/>
        </w:rPr>
        <w:t>省对下</w:t>
      </w:r>
      <w:r>
        <w:rPr>
          <w:rFonts w:hint="eastAsia" w:eastAsia="仿宋_GB2312"/>
          <w:b/>
          <w:bCs/>
          <w:kern w:val="0"/>
          <w:sz w:val="32"/>
          <w:szCs w:val="32"/>
          <w:lang w:eastAsia="zh-CN"/>
        </w:rPr>
        <w:t>人民调解</w:t>
      </w:r>
      <w:r>
        <w:rPr>
          <w:rFonts w:hint="eastAsia" w:eastAsia="仿宋_GB2312"/>
          <w:b/>
          <w:bCs/>
          <w:kern w:val="0"/>
          <w:sz w:val="32"/>
          <w:szCs w:val="32"/>
        </w:rPr>
        <w:t>转移支付</w:t>
      </w:r>
    </w:p>
    <w:p>
      <w:pPr>
        <w:topLinePunct w:val="1"/>
        <w:adjustRightInd/>
        <w:spacing w:before="312" w:beforeLines="100" w:after="312" w:afterLines="100" w:line="560" w:lineRule="exact"/>
        <w:ind w:firstLine="643" w:firstLineChars="200"/>
        <w:rPr>
          <w:rFonts w:eastAsia="仿宋_GB2312"/>
          <w:b/>
          <w:bCs/>
          <w:kern w:val="0"/>
          <w:sz w:val="32"/>
          <w:szCs w:val="32"/>
        </w:rPr>
      </w:pPr>
      <w:r>
        <w:rPr>
          <w:rFonts w:eastAsia="仿宋_GB2312"/>
          <w:b/>
          <w:bCs/>
          <w:kern w:val="0"/>
          <w:sz w:val="32"/>
          <w:szCs w:val="32"/>
        </w:rPr>
        <w:t>项目单位：</w:t>
      </w:r>
      <w:r>
        <w:rPr>
          <w:rFonts w:hint="eastAsia" w:eastAsia="仿宋_GB2312"/>
          <w:b/>
          <w:bCs/>
          <w:kern w:val="0"/>
          <w:sz w:val="32"/>
          <w:szCs w:val="32"/>
        </w:rPr>
        <w:t>全省基层司法行政机关</w:t>
      </w:r>
    </w:p>
    <w:p>
      <w:pPr>
        <w:topLinePunct w:val="1"/>
        <w:adjustRightInd/>
        <w:spacing w:before="312" w:beforeLines="100" w:after="312" w:afterLines="100" w:line="560" w:lineRule="exact"/>
        <w:ind w:firstLine="643" w:firstLineChars="200"/>
        <w:rPr>
          <w:rFonts w:eastAsia="仿宋_GB2312"/>
          <w:b/>
          <w:bCs/>
          <w:kern w:val="0"/>
          <w:sz w:val="32"/>
          <w:szCs w:val="32"/>
        </w:rPr>
      </w:pPr>
      <w:r>
        <w:rPr>
          <w:rFonts w:eastAsia="仿宋_GB2312"/>
          <w:b/>
          <w:bCs/>
          <w:kern w:val="0"/>
          <w:sz w:val="32"/>
          <w:szCs w:val="32"/>
        </w:rPr>
        <w:t>主管</w:t>
      </w:r>
      <w:r>
        <w:rPr>
          <w:rFonts w:hint="eastAsia" w:eastAsia="仿宋_GB2312"/>
          <w:b/>
          <w:bCs/>
          <w:kern w:val="0"/>
          <w:sz w:val="32"/>
          <w:szCs w:val="32"/>
        </w:rPr>
        <w:t>部门</w:t>
      </w:r>
      <w:r>
        <w:rPr>
          <w:rFonts w:eastAsia="仿宋_GB2312"/>
          <w:b/>
          <w:bCs/>
          <w:kern w:val="0"/>
          <w:sz w:val="32"/>
          <w:szCs w:val="32"/>
        </w:rPr>
        <w:t>：</w:t>
      </w:r>
      <w:r>
        <w:rPr>
          <w:rFonts w:hint="eastAsia" w:eastAsia="仿宋_GB2312"/>
          <w:b/>
          <w:bCs/>
          <w:kern w:val="0"/>
          <w:sz w:val="32"/>
          <w:szCs w:val="32"/>
        </w:rPr>
        <w:t>湖北省司法厅</w:t>
      </w:r>
    </w:p>
    <w:p>
      <w:pPr>
        <w:topLinePunct w:val="1"/>
        <w:adjustRightInd/>
        <w:spacing w:before="312" w:beforeLines="100" w:after="312" w:afterLines="100" w:line="560" w:lineRule="exact"/>
        <w:ind w:firstLine="643" w:firstLineChars="200"/>
        <w:rPr>
          <w:rFonts w:eastAsia="仿宋_GB2312"/>
          <w:b/>
          <w:bCs/>
          <w:kern w:val="0"/>
          <w:sz w:val="32"/>
          <w:szCs w:val="32"/>
        </w:rPr>
      </w:pPr>
      <w:r>
        <w:rPr>
          <w:rFonts w:eastAsia="仿宋_GB2312"/>
          <w:b/>
          <w:bCs/>
          <w:kern w:val="0"/>
          <w:sz w:val="32"/>
          <w:szCs w:val="32"/>
        </w:rPr>
        <w:t>评价机构：</w:t>
      </w:r>
      <w:r>
        <w:rPr>
          <w:rFonts w:hint="eastAsia" w:eastAsia="仿宋_GB2312"/>
          <w:b/>
          <w:sz w:val="32"/>
          <w:szCs w:val="32"/>
        </w:rPr>
        <w:t>湖北省司法厅</w:t>
      </w:r>
      <w:r>
        <w:rPr>
          <w:rFonts w:eastAsia="仿宋_GB2312"/>
          <w:b/>
          <w:sz w:val="32"/>
          <w:szCs w:val="32"/>
        </w:rPr>
        <w:t>绩效自评</w:t>
      </w:r>
      <w:r>
        <w:rPr>
          <w:rFonts w:hint="eastAsia" w:eastAsia="仿宋_GB2312"/>
          <w:b/>
          <w:sz w:val="32"/>
          <w:szCs w:val="32"/>
        </w:rPr>
        <w:t>工作</w:t>
      </w:r>
      <w:r>
        <w:rPr>
          <w:rFonts w:eastAsia="仿宋_GB2312"/>
          <w:b/>
          <w:sz w:val="32"/>
          <w:szCs w:val="32"/>
        </w:rPr>
        <w:t>小组</w:t>
      </w:r>
    </w:p>
    <w:p>
      <w:pPr>
        <w:topLinePunct w:val="1"/>
        <w:adjustRightInd/>
        <w:snapToGrid w:val="0"/>
        <w:spacing w:line="560" w:lineRule="exact"/>
        <w:jc w:val="center"/>
        <w:rPr>
          <w:rFonts w:eastAsia="仿宋_GB2312"/>
          <w:b/>
          <w:bCs/>
          <w:kern w:val="0"/>
          <w:sz w:val="32"/>
          <w:szCs w:val="32"/>
        </w:rPr>
      </w:pPr>
    </w:p>
    <w:p>
      <w:pPr>
        <w:topLinePunct w:val="1"/>
        <w:adjustRightInd/>
        <w:snapToGrid w:val="0"/>
        <w:spacing w:line="560" w:lineRule="exact"/>
        <w:jc w:val="center"/>
        <w:rPr>
          <w:rFonts w:eastAsia="仿宋_GB2312"/>
          <w:b/>
          <w:bCs/>
          <w:kern w:val="0"/>
          <w:sz w:val="32"/>
          <w:szCs w:val="32"/>
        </w:rPr>
      </w:pPr>
    </w:p>
    <w:p>
      <w:pPr>
        <w:adjustRightInd/>
        <w:spacing w:before="156" w:beforeLines="50" w:after="156" w:afterLines="50" w:line="560" w:lineRule="exact"/>
        <w:jc w:val="center"/>
        <w:rPr>
          <w:rFonts w:eastAsia="仿宋_GB2312"/>
          <w:b/>
          <w:sz w:val="32"/>
          <w:szCs w:val="32"/>
        </w:rPr>
      </w:pPr>
      <w:r>
        <w:rPr>
          <w:rFonts w:eastAsia="仿宋_GB2312"/>
          <w:b/>
          <w:sz w:val="32"/>
          <w:szCs w:val="32"/>
        </w:rPr>
        <w:t>20</w:t>
      </w:r>
      <w:r>
        <w:rPr>
          <w:rFonts w:hint="eastAsia" w:eastAsia="仿宋_GB2312"/>
          <w:b/>
          <w:sz w:val="32"/>
          <w:szCs w:val="32"/>
        </w:rPr>
        <w:t>2</w:t>
      </w:r>
      <w:r>
        <w:rPr>
          <w:rFonts w:hint="eastAsia" w:eastAsia="仿宋_GB2312"/>
          <w:b/>
          <w:sz w:val="32"/>
          <w:szCs w:val="32"/>
          <w:lang w:val="en-US" w:eastAsia="zh-CN"/>
        </w:rPr>
        <w:t>1</w:t>
      </w:r>
      <w:r>
        <w:rPr>
          <w:rFonts w:eastAsia="仿宋_GB2312"/>
          <w:b/>
          <w:sz w:val="32"/>
          <w:szCs w:val="32"/>
        </w:rPr>
        <w:t>年</w:t>
      </w:r>
      <w:r>
        <w:rPr>
          <w:rFonts w:hint="eastAsia" w:eastAsia="仿宋_GB2312"/>
          <w:b/>
          <w:sz w:val="32"/>
          <w:szCs w:val="32"/>
          <w:lang w:val="en-US" w:eastAsia="zh-CN"/>
        </w:rPr>
        <w:t>4</w:t>
      </w:r>
      <w:r>
        <w:rPr>
          <w:rFonts w:eastAsia="仿宋_GB2312"/>
          <w:b/>
          <w:sz w:val="32"/>
          <w:szCs w:val="32"/>
        </w:rPr>
        <w:t>月</w:t>
      </w:r>
    </w:p>
    <w:p>
      <w:pPr>
        <w:pStyle w:val="14"/>
        <w:rPr>
          <w:rFonts w:eastAsia="仿宋_GB2312"/>
          <w:b/>
          <w:sz w:val="32"/>
          <w:szCs w:val="32"/>
        </w:rPr>
      </w:pPr>
    </w:p>
    <w:p>
      <w:pPr>
        <w:pStyle w:val="14"/>
        <w:rPr>
          <w:rFonts w:eastAsia="仿宋_GB2312"/>
          <w:b/>
          <w:sz w:val="32"/>
          <w:szCs w:val="32"/>
        </w:rPr>
      </w:pPr>
    </w:p>
    <w:p>
      <w:pPr>
        <w:widowControl w:val="0"/>
        <w:wordWrap/>
        <w:topLinePunct w:val="1"/>
        <w:adjustRightInd/>
        <w:snapToGrid/>
        <w:spacing w:before="156" w:beforeLines="50" w:after="156" w:afterLines="50" w:line="560" w:lineRule="exact"/>
        <w:ind w:left="0" w:leftChars="0" w:right="0"/>
        <w:jc w:val="center"/>
        <w:textAlignment w:val="auto"/>
        <w:outlineLvl w:val="9"/>
        <w:rPr>
          <w:rFonts w:hint="eastAsia" w:ascii="宋体" w:hAnsi="宋体" w:eastAsia="宋体" w:cs="宋体"/>
          <w:b/>
          <w:color w:val="000000"/>
          <w:sz w:val="44"/>
          <w:szCs w:val="44"/>
          <w:lang w:val="en-US" w:eastAsia="zh-CN"/>
        </w:rPr>
        <w:sectPr>
          <w:footerReference r:id="rId4" w:type="default"/>
          <w:pgSz w:w="11906" w:h="16838"/>
          <w:pgMar w:top="2098" w:right="1474" w:bottom="1984" w:left="1587" w:header="851" w:footer="992" w:gutter="0"/>
          <w:pgNumType w:fmt="decimal"/>
          <w:cols w:space="720" w:num="1"/>
          <w:docGrid w:type="lines" w:linePitch="312" w:charSpace="0"/>
        </w:sectPr>
      </w:pPr>
    </w:p>
    <w:p>
      <w:pPr>
        <w:widowControl w:val="0"/>
        <w:wordWrap/>
        <w:topLinePunct w:val="1"/>
        <w:adjustRightInd/>
        <w:snapToGrid/>
        <w:spacing w:before="156" w:beforeLines="50" w:after="156" w:afterLines="50" w:line="560" w:lineRule="exact"/>
        <w:ind w:left="0" w:leftChars="0" w:right="0"/>
        <w:jc w:val="center"/>
        <w:textAlignment w:val="auto"/>
        <w:outlineLvl w:val="9"/>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lang w:val="en-US" w:eastAsia="zh-CN"/>
        </w:rPr>
        <w:t>2020</w:t>
      </w:r>
      <w:r>
        <w:rPr>
          <w:rFonts w:hint="eastAsia" w:ascii="宋体" w:hAnsi="宋体" w:eastAsia="宋体" w:cs="宋体"/>
          <w:b/>
          <w:color w:val="000000"/>
          <w:sz w:val="44"/>
          <w:szCs w:val="44"/>
          <w:lang w:eastAsia="zh-CN"/>
        </w:rPr>
        <w:t>年度省对下人民调解转移支付项目</w:t>
      </w:r>
    </w:p>
    <w:p>
      <w:pPr>
        <w:widowControl w:val="0"/>
        <w:wordWrap/>
        <w:topLinePunct w:val="1"/>
        <w:adjustRightInd/>
        <w:snapToGrid/>
        <w:spacing w:before="156" w:beforeLines="50" w:after="156" w:afterLines="50" w:line="560" w:lineRule="exact"/>
        <w:ind w:left="0" w:leftChars="0" w:right="0"/>
        <w:jc w:val="center"/>
        <w:textAlignment w:val="auto"/>
        <w:outlineLvl w:val="9"/>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lang w:eastAsia="zh-CN"/>
        </w:rPr>
        <w:t>绩效自评报告</w:t>
      </w:r>
    </w:p>
    <w:p>
      <w:pPr>
        <w:widowControl w:val="0"/>
        <w:wordWrap/>
        <w:adjustRightInd/>
        <w:snapToGrid/>
        <w:spacing w:line="560" w:lineRule="exact"/>
        <w:ind w:left="0" w:leftChars="0" w:right="0" w:firstLine="643" w:firstLineChars="200"/>
        <w:jc w:val="center"/>
        <w:textAlignment w:val="auto"/>
        <w:outlineLvl w:val="9"/>
        <w:rPr>
          <w:rFonts w:hint="eastAsia" w:ascii="楷体" w:hAnsi="楷体" w:eastAsia="楷体" w:cs="楷体"/>
          <w:b/>
          <w:sz w:val="32"/>
          <w:szCs w:val="32"/>
          <w:lang w:eastAsia="zh-CN"/>
        </w:rPr>
      </w:pPr>
      <w:r>
        <w:rPr>
          <w:rFonts w:hint="eastAsia" w:ascii="楷体" w:hAnsi="楷体" w:eastAsia="楷体" w:cs="楷体"/>
          <w:b/>
          <w:sz w:val="32"/>
          <w:szCs w:val="32"/>
          <w:lang w:eastAsia="zh-CN"/>
        </w:rPr>
        <w:t>（缩略版）</w:t>
      </w:r>
    </w:p>
    <w:p>
      <w:pPr>
        <w:wordWrap/>
        <w:adjustRightInd/>
        <w:spacing w:line="560" w:lineRule="exact"/>
        <w:outlineLvl w:val="0"/>
        <w:rPr>
          <w:rFonts w:hint="default" w:ascii="黑体" w:hAnsi="黑体" w:eastAsia="黑体"/>
          <w:b/>
          <w:sz w:val="32"/>
          <w:szCs w:val="32"/>
          <w:lang w:val="en-US" w:eastAsia="zh-CN"/>
        </w:rPr>
      </w:pPr>
      <w:bookmarkStart w:id="0" w:name="_Toc1142"/>
      <w:r>
        <w:rPr>
          <w:rFonts w:hint="eastAsia" w:ascii="黑体" w:hAnsi="黑体" w:eastAsia="黑体"/>
          <w:b/>
          <w:sz w:val="32"/>
          <w:szCs w:val="32"/>
          <w:lang w:val="en-US" w:eastAsia="zh-CN"/>
        </w:rPr>
        <w:t xml:space="preserve">    一、自评结论</w:t>
      </w:r>
      <w:bookmarkEnd w:id="0"/>
    </w:p>
    <w:p>
      <w:pPr>
        <w:widowControl w:val="0"/>
        <w:wordWrap/>
        <w:adjustRightInd/>
        <w:snapToGrid/>
        <w:spacing w:line="560" w:lineRule="exact"/>
        <w:ind w:firstLine="643" w:firstLineChars="200"/>
        <w:textAlignment w:val="auto"/>
        <w:outlineLvl w:val="1"/>
        <w:rPr>
          <w:rFonts w:hint="eastAsia" w:ascii="楷体" w:hAnsi="楷体" w:eastAsia="楷体" w:cs="楷体"/>
          <w:b/>
          <w:sz w:val="32"/>
          <w:szCs w:val="32"/>
          <w:lang w:eastAsia="zh-CN"/>
        </w:rPr>
      </w:pPr>
      <w:bookmarkStart w:id="1" w:name="_Toc22060"/>
      <w:r>
        <w:rPr>
          <w:rFonts w:hint="eastAsia" w:ascii="楷体" w:hAnsi="楷体" w:eastAsia="楷体" w:cs="楷体"/>
          <w:b/>
          <w:sz w:val="32"/>
          <w:szCs w:val="32"/>
          <w:lang w:val="en-US" w:eastAsia="zh-CN"/>
        </w:rPr>
        <w:t>（一）自评</w:t>
      </w:r>
      <w:r>
        <w:rPr>
          <w:rFonts w:hint="eastAsia" w:ascii="楷体" w:hAnsi="楷体" w:eastAsia="楷体" w:cs="楷体"/>
          <w:b/>
          <w:sz w:val="32"/>
          <w:szCs w:val="32"/>
          <w:lang w:eastAsia="zh-CN"/>
        </w:rPr>
        <w:t>得分</w:t>
      </w:r>
      <w:bookmarkEnd w:id="1"/>
    </w:p>
    <w:p>
      <w:pPr>
        <w:pStyle w:val="14"/>
        <w:wordWrap/>
        <w:adjustRightInd/>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w:t>
      </w:r>
      <w:r>
        <w:rPr>
          <w:rFonts w:hint="eastAsia" w:ascii="仿宋" w:hAnsi="仿宋" w:eastAsia="仿宋" w:cs="仿宋"/>
          <w:b w:val="0"/>
          <w:bCs/>
          <w:sz w:val="32"/>
          <w:szCs w:val="32"/>
          <w:lang w:eastAsia="zh-CN"/>
        </w:rPr>
        <w:t>本项目</w:t>
      </w:r>
      <w:r>
        <w:rPr>
          <w:rFonts w:hint="eastAsia" w:ascii="仿宋" w:hAnsi="仿宋" w:eastAsia="仿宋" w:cs="仿宋"/>
          <w:b w:val="0"/>
          <w:bCs/>
          <w:sz w:val="32"/>
          <w:szCs w:val="32"/>
          <w:lang w:val="en-US" w:eastAsia="zh-CN"/>
        </w:rPr>
        <w:t>的立项目的及项目特点设定评分标准，</w:t>
      </w:r>
      <w:r>
        <w:rPr>
          <w:rFonts w:hint="eastAsia" w:ascii="仿宋" w:hAnsi="仿宋" w:eastAsia="仿宋" w:cs="仿宋"/>
          <w:b w:val="0"/>
          <w:bCs/>
          <w:sz w:val="32"/>
          <w:szCs w:val="32"/>
          <w:lang w:eastAsia="zh-CN"/>
        </w:rPr>
        <w:t>绩效评价设置总分</w:t>
      </w:r>
      <w:r>
        <w:rPr>
          <w:rFonts w:hint="eastAsia" w:ascii="仿宋" w:hAnsi="仿宋" w:eastAsia="仿宋" w:cs="仿宋"/>
          <w:b w:val="0"/>
          <w:bCs/>
          <w:sz w:val="32"/>
          <w:szCs w:val="32"/>
          <w:lang w:val="en-US" w:eastAsia="zh-CN"/>
        </w:rPr>
        <w:t>100分，其中</w:t>
      </w:r>
      <w:r>
        <w:rPr>
          <w:rFonts w:hint="eastAsia" w:ascii="仿宋" w:hAnsi="仿宋" w:eastAsia="仿宋" w:cs="仿宋"/>
          <w:b w:val="0"/>
          <w:bCs/>
          <w:sz w:val="32"/>
          <w:szCs w:val="32"/>
          <w:lang w:eastAsia="zh-CN"/>
        </w:rPr>
        <w:t>预算执行情况</w:t>
      </w:r>
      <w:r>
        <w:rPr>
          <w:rFonts w:hint="eastAsia" w:ascii="仿宋" w:hAnsi="仿宋" w:eastAsia="仿宋" w:cs="仿宋"/>
          <w:b w:val="0"/>
          <w:bCs/>
          <w:sz w:val="32"/>
          <w:szCs w:val="32"/>
          <w:lang w:val="en-US" w:eastAsia="zh-CN"/>
        </w:rPr>
        <w:t>20分，绩效目标完成情况80分，其中产出指标50分，效益指标（满意度指标）30分。</w:t>
      </w:r>
    </w:p>
    <w:p>
      <w:pPr>
        <w:pStyle w:val="14"/>
        <w:wordWrap/>
        <w:adjustRightInd/>
        <w:spacing w:line="56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本项目得分96.72，自评等级为优。</w:t>
      </w:r>
    </w:p>
    <w:p>
      <w:pPr>
        <w:widowControl w:val="0"/>
        <w:numPr>
          <w:ilvl w:val="0"/>
          <w:numId w:val="1"/>
        </w:numPr>
        <w:wordWrap/>
        <w:adjustRightInd/>
        <w:snapToGrid/>
        <w:spacing w:line="560" w:lineRule="exact"/>
        <w:ind w:firstLine="643" w:firstLineChars="200"/>
        <w:textAlignment w:val="auto"/>
        <w:outlineLvl w:val="1"/>
        <w:rPr>
          <w:rFonts w:hint="eastAsia" w:ascii="楷体" w:hAnsi="楷体" w:eastAsia="楷体" w:cs="楷体"/>
          <w:b/>
          <w:sz w:val="32"/>
          <w:szCs w:val="32"/>
          <w:lang w:eastAsia="zh-CN"/>
        </w:rPr>
      </w:pPr>
      <w:bookmarkStart w:id="2" w:name="_Toc21952"/>
      <w:r>
        <w:rPr>
          <w:rFonts w:hint="eastAsia" w:ascii="楷体" w:hAnsi="楷体" w:eastAsia="楷体" w:cs="楷体"/>
          <w:b/>
          <w:sz w:val="32"/>
          <w:szCs w:val="32"/>
          <w:lang w:eastAsia="zh-CN"/>
        </w:rPr>
        <w:t>绩效目标完成情况</w:t>
      </w:r>
      <w:bookmarkEnd w:id="2"/>
    </w:p>
    <w:p>
      <w:pPr>
        <w:widowControl w:val="0"/>
        <w:numPr>
          <w:numId w:val="0"/>
        </w:numPr>
        <w:wordWrap/>
        <w:adjustRightInd/>
        <w:snapToGrid/>
        <w:spacing w:line="560" w:lineRule="exact"/>
        <w:ind w:firstLine="643" w:firstLineChars="200"/>
        <w:textAlignment w:val="auto"/>
        <w:outlineLvl w:val="1"/>
        <w:rPr>
          <w:rFonts w:hint="eastAsia" w:ascii="楷体" w:hAnsi="楷体" w:eastAsia="楷体" w:cs="楷体"/>
          <w:b/>
          <w:sz w:val="32"/>
          <w:szCs w:val="32"/>
          <w:lang w:val="en-US" w:eastAsia="zh-CN"/>
        </w:rPr>
      </w:pPr>
      <w:bookmarkStart w:id="3" w:name="_Toc21389"/>
      <w:r>
        <w:rPr>
          <w:rFonts w:hint="eastAsia" w:ascii="楷体" w:hAnsi="楷体" w:eastAsia="楷体" w:cs="楷体"/>
          <w:b/>
          <w:sz w:val="32"/>
          <w:szCs w:val="32"/>
          <w:lang w:val="en-US" w:eastAsia="zh-CN"/>
        </w:rPr>
        <w:t>1.执行率情况</w:t>
      </w:r>
      <w:bookmarkEnd w:id="3"/>
    </w:p>
    <w:p>
      <w:pPr>
        <w:wordWrap/>
        <w:adjustRightInd/>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2020年</w:t>
      </w:r>
      <w:r>
        <w:rPr>
          <w:rFonts w:hint="eastAsia" w:ascii="仿宋" w:hAnsi="仿宋" w:eastAsia="仿宋" w:cs="仿宋"/>
          <w:sz w:val="32"/>
          <w:szCs w:val="32"/>
          <w:highlight w:val="none"/>
        </w:rPr>
        <w:t>度</w:t>
      </w:r>
      <w:r>
        <w:rPr>
          <w:rFonts w:hint="eastAsia" w:ascii="仿宋" w:hAnsi="仿宋" w:eastAsia="仿宋" w:cs="仿宋"/>
          <w:sz w:val="32"/>
          <w:szCs w:val="32"/>
        </w:rPr>
        <w:t>预算执行率</w:t>
      </w:r>
      <w:r>
        <w:rPr>
          <w:rFonts w:hint="eastAsia" w:ascii="仿宋" w:hAnsi="仿宋" w:eastAsia="仿宋" w:cs="仿宋"/>
          <w:sz w:val="32"/>
          <w:szCs w:val="32"/>
          <w:lang w:val="en-US" w:eastAsia="zh-CN"/>
        </w:rPr>
        <w:t>83.58</w:t>
      </w:r>
      <w:r>
        <w:rPr>
          <w:rFonts w:hint="eastAsia" w:ascii="仿宋" w:hAnsi="仿宋" w:eastAsia="仿宋" w:cs="仿宋"/>
          <w:sz w:val="32"/>
          <w:szCs w:val="32"/>
        </w:rPr>
        <w:t>%</w:t>
      </w:r>
      <w:r>
        <w:rPr>
          <w:rFonts w:hint="eastAsia" w:ascii="仿宋" w:hAnsi="仿宋" w:eastAsia="仿宋" w:cs="仿宋"/>
          <w:sz w:val="32"/>
          <w:szCs w:val="32"/>
          <w:highlight w:val="none"/>
        </w:rPr>
        <w:t>。项目资金财政预算安排4,876.13万元，</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：省对下</w:t>
      </w:r>
      <w:r>
        <w:rPr>
          <w:rFonts w:hint="eastAsia" w:ascii="仿宋" w:hAnsi="仿宋" w:eastAsia="仿宋" w:cs="仿宋"/>
          <w:sz w:val="32"/>
          <w:szCs w:val="32"/>
          <w:highlight w:val="none"/>
          <w:lang w:eastAsia="zh-CN"/>
        </w:rPr>
        <w:t>人民调解</w:t>
      </w:r>
      <w:r>
        <w:rPr>
          <w:rFonts w:hint="eastAsia" w:ascii="仿宋" w:hAnsi="仿宋" w:eastAsia="仿宋" w:cs="仿宋"/>
          <w:sz w:val="32"/>
          <w:szCs w:val="32"/>
          <w:highlight w:val="none"/>
        </w:rPr>
        <w:t>转移支付1,000.00万元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市县级财政补助3,817.08 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其他资金（上年结余）59.05 万元。当年实际执行4,075.27万元，</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人民调解员补贴经费1,246.72</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工作补助经费1,509.08</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其他1,319.47</w:t>
      </w:r>
      <w:r>
        <w:rPr>
          <w:rFonts w:hint="eastAsia" w:ascii="仿宋" w:hAnsi="仿宋" w:eastAsia="仿宋" w:cs="仿宋"/>
          <w:sz w:val="32"/>
          <w:szCs w:val="32"/>
          <w:highlight w:val="none"/>
          <w:lang w:eastAsia="zh-CN"/>
        </w:rPr>
        <w:t>万元。</w:t>
      </w:r>
    </w:p>
    <w:p>
      <w:pPr>
        <w:widowControl w:val="0"/>
        <w:wordWrap/>
        <w:adjustRightInd/>
        <w:snapToGrid/>
        <w:spacing w:line="560" w:lineRule="exact"/>
        <w:ind w:firstLine="643" w:firstLineChars="200"/>
        <w:textAlignment w:val="auto"/>
        <w:outlineLvl w:val="1"/>
        <w:rPr>
          <w:rFonts w:hint="eastAsia" w:ascii="仿宋" w:hAnsi="仿宋" w:eastAsia="仿宋" w:cs="仿宋"/>
          <w:b/>
          <w:sz w:val="32"/>
          <w:szCs w:val="32"/>
          <w:lang w:val="en-US" w:eastAsia="zh-CN"/>
        </w:rPr>
      </w:pPr>
      <w:bookmarkStart w:id="4" w:name="_Toc5237"/>
      <w:r>
        <w:rPr>
          <w:rFonts w:hint="eastAsia" w:ascii="楷体" w:hAnsi="楷体" w:eastAsia="楷体" w:cs="楷体"/>
          <w:b/>
          <w:sz w:val="32"/>
          <w:szCs w:val="32"/>
          <w:lang w:val="en-US" w:eastAsia="zh-CN"/>
        </w:rPr>
        <w:t>2.完成的绩效目标</w:t>
      </w:r>
      <w:bookmarkEnd w:id="4"/>
    </w:p>
    <w:p>
      <w:pPr>
        <w:widowControl w:val="0"/>
        <w:wordWrap/>
        <w:adjustRightInd/>
        <w:snapToGrid/>
        <w:spacing w:line="560" w:lineRule="exact"/>
        <w:ind w:firstLine="643" w:firstLineChars="200"/>
        <w:textAlignment w:val="auto"/>
        <w:outlineLvl w:val="1"/>
        <w:rPr>
          <w:rFonts w:ascii="仿宋" w:hAnsi="仿宋" w:eastAsia="仿宋" w:cs="仿宋"/>
          <w:sz w:val="32"/>
          <w:szCs w:val="32"/>
        </w:rPr>
      </w:pPr>
      <w:r>
        <w:rPr>
          <w:rFonts w:hint="eastAsia" w:ascii="仿宋" w:hAnsi="仿宋" w:eastAsia="仿宋" w:cs="仿宋"/>
          <w:b/>
          <w:bCs/>
          <w:sz w:val="32"/>
          <w:szCs w:val="32"/>
        </w:rPr>
        <w:t>（1）人民调解成功率</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指标目标值为≥95%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2020年，受理</w:t>
      </w:r>
      <w:r>
        <w:rPr>
          <w:rFonts w:hint="eastAsia" w:ascii="仿宋" w:hAnsi="仿宋" w:eastAsia="仿宋" w:cs="仿宋"/>
          <w:sz w:val="32"/>
          <w:szCs w:val="32"/>
        </w:rPr>
        <w:t>人民调解案件233,548件</w:t>
      </w:r>
      <w:r>
        <w:rPr>
          <w:rFonts w:hint="eastAsia" w:ascii="仿宋" w:hAnsi="仿宋" w:eastAsia="仿宋" w:cs="仿宋"/>
          <w:sz w:val="32"/>
          <w:szCs w:val="32"/>
          <w:lang w:eastAsia="zh-CN"/>
        </w:rPr>
        <w:t>，</w:t>
      </w:r>
      <w:r>
        <w:rPr>
          <w:rFonts w:hint="eastAsia" w:ascii="仿宋" w:hAnsi="仿宋" w:eastAsia="仿宋" w:cs="仿宋"/>
          <w:sz w:val="32"/>
          <w:szCs w:val="32"/>
        </w:rPr>
        <w:t>人民调解成功228,372 件</w:t>
      </w:r>
      <w:r>
        <w:rPr>
          <w:rFonts w:hint="eastAsia" w:ascii="仿宋" w:hAnsi="仿宋" w:eastAsia="仿宋" w:cs="仿宋"/>
          <w:sz w:val="32"/>
          <w:szCs w:val="32"/>
          <w:lang w:eastAsia="zh-CN"/>
        </w:rPr>
        <w:t>，</w:t>
      </w:r>
      <w:r>
        <w:rPr>
          <w:rFonts w:hint="eastAsia" w:ascii="仿宋" w:hAnsi="仿宋" w:eastAsia="仿宋" w:cs="仿宋"/>
          <w:sz w:val="32"/>
          <w:szCs w:val="32"/>
        </w:rPr>
        <w:t>成功率达97.</w:t>
      </w:r>
      <w:r>
        <w:rPr>
          <w:rFonts w:hint="eastAsia" w:ascii="仿宋" w:hAnsi="仿宋" w:eastAsia="仿宋" w:cs="仿宋"/>
          <w:sz w:val="32"/>
          <w:szCs w:val="32"/>
          <w:lang w:val="en-US" w:eastAsia="zh-CN"/>
        </w:rPr>
        <w:t>78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指标完成。</w:t>
      </w:r>
    </w:p>
    <w:p>
      <w:pPr>
        <w:widowControl w:val="0"/>
        <w:wordWrap/>
        <w:adjustRightInd/>
        <w:snapToGrid/>
        <w:spacing w:line="560" w:lineRule="exact"/>
        <w:ind w:firstLine="643" w:firstLineChars="200"/>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（2）人民调解协议履行率</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指标目标值为≥90%。</w:t>
      </w:r>
      <w:r>
        <w:rPr>
          <w:rFonts w:hint="eastAsia" w:ascii="仿宋" w:hAnsi="仿宋" w:eastAsia="仿宋" w:cs="仿宋"/>
          <w:sz w:val="32"/>
          <w:szCs w:val="32"/>
          <w:lang w:val="en-US" w:eastAsia="zh-CN"/>
        </w:rPr>
        <w:t>2020年，</w:t>
      </w:r>
      <w:r>
        <w:rPr>
          <w:rFonts w:hint="eastAsia" w:ascii="仿宋" w:hAnsi="仿宋" w:eastAsia="仿宋" w:cs="仿宋"/>
          <w:sz w:val="32"/>
          <w:szCs w:val="32"/>
        </w:rPr>
        <w:t>人民调解协议履行件数221,529件</w:t>
      </w:r>
      <w:r>
        <w:rPr>
          <w:rFonts w:hint="eastAsia" w:ascii="仿宋" w:hAnsi="仿宋" w:eastAsia="仿宋" w:cs="仿宋"/>
          <w:sz w:val="32"/>
          <w:szCs w:val="32"/>
          <w:lang w:eastAsia="zh-CN"/>
        </w:rPr>
        <w:t>，</w:t>
      </w:r>
      <w:r>
        <w:rPr>
          <w:rFonts w:hint="eastAsia" w:ascii="仿宋" w:hAnsi="仿宋" w:eastAsia="仿宋" w:cs="仿宋"/>
          <w:sz w:val="32"/>
          <w:szCs w:val="32"/>
        </w:rPr>
        <w:t>人民调解</w:t>
      </w:r>
      <w:r>
        <w:rPr>
          <w:rFonts w:hint="eastAsia" w:ascii="仿宋" w:hAnsi="仿宋" w:eastAsia="仿宋" w:cs="仿宋"/>
          <w:sz w:val="32"/>
          <w:szCs w:val="32"/>
          <w:lang w:eastAsia="zh-CN"/>
        </w:rPr>
        <w:t>成功</w:t>
      </w:r>
      <w:r>
        <w:rPr>
          <w:rFonts w:hint="eastAsia" w:ascii="仿宋" w:hAnsi="仿宋" w:eastAsia="仿宋" w:cs="仿宋"/>
          <w:sz w:val="32"/>
          <w:szCs w:val="32"/>
        </w:rPr>
        <w:t>案件228,372 件</w:t>
      </w:r>
      <w:r>
        <w:rPr>
          <w:rFonts w:hint="eastAsia" w:ascii="仿宋" w:hAnsi="仿宋" w:eastAsia="仿宋" w:cs="仿宋"/>
          <w:sz w:val="32"/>
          <w:szCs w:val="32"/>
          <w:lang w:eastAsia="zh-CN"/>
        </w:rPr>
        <w:t>，</w:t>
      </w:r>
      <w:r>
        <w:rPr>
          <w:rFonts w:hint="eastAsia" w:ascii="仿宋" w:hAnsi="仿宋" w:eastAsia="仿宋"/>
          <w:sz w:val="32"/>
          <w:szCs w:val="32"/>
          <w:lang w:eastAsia="zh-CN"/>
        </w:rPr>
        <w:t>协议履行率</w:t>
      </w:r>
      <w:r>
        <w:rPr>
          <w:rFonts w:hint="eastAsia" w:ascii="仿宋" w:hAnsi="仿宋" w:eastAsia="仿宋"/>
          <w:sz w:val="32"/>
          <w:szCs w:val="32"/>
        </w:rPr>
        <w:t>为</w:t>
      </w:r>
      <w:r>
        <w:rPr>
          <w:rFonts w:hint="eastAsia" w:ascii="仿宋" w:hAnsi="仿宋" w:eastAsia="仿宋" w:cs="仿宋"/>
          <w:sz w:val="32"/>
          <w:szCs w:val="32"/>
          <w:lang w:val="en-US" w:eastAsia="zh-CN"/>
        </w:rPr>
        <w:t>97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指标完成。</w:t>
      </w:r>
    </w:p>
    <w:p>
      <w:pPr>
        <w:widowControl w:val="0"/>
        <w:wordWrap/>
        <w:adjustRightInd/>
        <w:snapToGrid/>
        <w:spacing w:line="560" w:lineRule="exact"/>
        <w:ind w:firstLine="643" w:firstLineChars="200"/>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（3）当事人对人民调解工作满意度</w:t>
      </w:r>
    </w:p>
    <w:p>
      <w:pPr>
        <w:wordWrap/>
        <w:adjustRightIn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指标目标值为≥80%。指标完成数值为</w:t>
      </w:r>
      <w:r>
        <w:rPr>
          <w:rFonts w:hint="eastAsia" w:ascii="仿宋" w:hAnsi="仿宋" w:eastAsia="仿宋" w:cs="仿宋"/>
          <w:sz w:val="32"/>
          <w:szCs w:val="32"/>
          <w:lang w:val="en-US" w:eastAsia="zh-CN"/>
        </w:rPr>
        <w:t>96.6</w:t>
      </w:r>
      <w:r>
        <w:rPr>
          <w:rFonts w:hint="eastAsia" w:ascii="仿宋" w:hAnsi="仿宋" w:eastAsia="仿宋" w:cs="仿宋"/>
          <w:sz w:val="32"/>
          <w:szCs w:val="32"/>
        </w:rPr>
        <w:t>%，指标完成。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本年度所有绩效目标均完成，无未完成绩效目标。</w:t>
      </w:r>
    </w:p>
    <w:p>
      <w:pPr>
        <w:widowControl w:val="0"/>
        <w:wordWrap/>
        <w:adjustRightInd/>
        <w:snapToGrid/>
        <w:spacing w:line="560" w:lineRule="exact"/>
        <w:ind w:firstLine="643" w:firstLineChars="200"/>
        <w:textAlignment w:val="auto"/>
        <w:outlineLvl w:val="1"/>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（三）存在的问题和原因</w:t>
      </w:r>
    </w:p>
    <w:p>
      <w:pPr>
        <w:widowControl w:val="0"/>
        <w:wordWrap/>
        <w:adjustRightInd/>
        <w:snapToGrid/>
        <w:spacing w:line="560" w:lineRule="exact"/>
        <w:ind w:firstLine="643" w:firstLineChars="200"/>
        <w:textAlignment w:val="auto"/>
        <w:outlineLvl w:val="1"/>
        <w:rPr>
          <w:rFonts w:hint="eastAsia" w:ascii="楷体" w:hAnsi="楷体" w:eastAsia="楷体" w:cs="楷体"/>
          <w:b/>
          <w:sz w:val="32"/>
          <w:szCs w:val="32"/>
          <w:lang w:val="en-US" w:eastAsia="zh-CN"/>
        </w:rPr>
      </w:pPr>
      <w:bookmarkStart w:id="5" w:name="_Toc8670"/>
      <w:r>
        <w:rPr>
          <w:rFonts w:hint="eastAsia" w:ascii="楷体" w:hAnsi="楷体" w:eastAsia="楷体" w:cs="楷体"/>
          <w:b/>
          <w:sz w:val="32"/>
          <w:szCs w:val="32"/>
          <w:lang w:val="en-US" w:eastAsia="zh-CN"/>
        </w:rPr>
        <w:t>1.上年度绩效评价结果应用情况</w:t>
      </w:r>
      <w:bookmarkEnd w:id="5"/>
    </w:p>
    <w:p>
      <w:pPr>
        <w:pStyle w:val="14"/>
        <w:wordWrap/>
        <w:adjustRightInd/>
        <w:spacing w:line="560" w:lineRule="exact"/>
        <w:ind w:left="0" w:leftChars="0" w:firstLine="640" w:firstLineChars="200"/>
        <w:rPr>
          <w:rFonts w:hint="eastAsia" w:ascii="仿宋" w:hAnsi="仿宋" w:eastAsia="仿宋" w:cs="仿宋"/>
          <w:b w:val="0"/>
          <w:bCs/>
          <w:sz w:val="32"/>
          <w:szCs w:val="32"/>
          <w:lang w:val="en-US" w:eastAsia="zh-CN"/>
        </w:rPr>
      </w:pPr>
      <w:bookmarkStart w:id="6" w:name="_Toc9147"/>
      <w:r>
        <w:rPr>
          <w:rFonts w:hint="eastAsia" w:ascii="仿宋" w:hAnsi="仿宋" w:eastAsia="仿宋" w:cs="仿宋"/>
          <w:b w:val="0"/>
          <w:bCs/>
          <w:sz w:val="32"/>
          <w:szCs w:val="32"/>
          <w:lang w:val="en-US" w:eastAsia="zh-CN"/>
        </w:rPr>
        <w:t>一是将2019年度人民调解转移支付资金绩效评价结果及时反馈给项目实施单位，并限时整改。绩效评价结果在司法厅门户网站进行公开，并及时向省财政厅报送。二是加强建章立制，制定并印发《省司法厅预算绩效管理实施细则》，落实预算绩效管理主体责任，建成全方位、全过程、全覆盖的预算绩效管理体系。三是根据预算绩效评审专家组意见，对人民调解转移支付项目绩效指标进行修改和完善，进一步完善预算指标体系。四是绩效评价结果与预算安排相结合，将2019年度人民调解转移支付资金绩效评价结果作为下年度转移支付资金分配的重要依据。</w:t>
      </w:r>
    </w:p>
    <w:p>
      <w:pPr>
        <w:widowControl w:val="0"/>
        <w:wordWrap/>
        <w:adjustRightInd/>
        <w:snapToGrid/>
        <w:spacing w:line="560" w:lineRule="exact"/>
        <w:ind w:firstLine="643" w:firstLineChars="200"/>
        <w:textAlignment w:val="auto"/>
        <w:outlineLvl w:val="1"/>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2.本年度绩效管理中存在的问题和原因</w:t>
      </w:r>
      <w:bookmarkEnd w:id="6"/>
    </w:p>
    <w:p>
      <w:pPr>
        <w:widowControl w:val="0"/>
        <w:numPr>
          <w:numId w:val="0"/>
        </w:numPr>
        <w:wordWrap/>
        <w:adjustRightInd/>
        <w:snapToGrid/>
        <w:spacing w:line="560" w:lineRule="exact"/>
        <w:ind w:firstLine="320" w:firstLineChars="100"/>
        <w:textAlignment w:val="auto"/>
        <w:outlineLvl w:val="1"/>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1）市、县司法行政部门收到资金滞后。根据转移支付资金管理办法，省财政厅在省级人民代表大会批准预算后的30日内正式下达转移支付资金，市、县财政部门收到省级转移支付资金后，应当在15个工作日内分解下达本级司法行政部门。但由于部分地区（如孝南区司法局，蔡甸区司法局）收到转移支付时间较晚，资金安排在下一年度支付，造成资金有结余。</w:t>
      </w:r>
    </w:p>
    <w:p>
      <w:pPr>
        <w:widowControl w:val="0"/>
        <w:numPr>
          <w:numId w:val="0"/>
        </w:numPr>
        <w:wordWrap/>
        <w:adjustRightInd/>
        <w:snapToGrid/>
        <w:spacing w:line="560" w:lineRule="exact"/>
        <w:ind w:firstLine="640" w:firstLineChars="200"/>
        <w:textAlignment w:val="auto"/>
        <w:outlineLvl w:val="1"/>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）部分地区预算执行率较低</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例如，潜江市司法局2021年初对人民调解员2020年度工作进行考评，根据考评结果在</w:t>
      </w:r>
      <w:r>
        <w:rPr>
          <w:rFonts w:hint="eastAsia" w:ascii="仿宋" w:hAnsi="仿宋" w:eastAsia="仿宋" w:cs="仿宋"/>
          <w:sz w:val="32"/>
          <w:szCs w:val="32"/>
          <w:highlight w:val="none"/>
          <w:lang w:val="en-US" w:eastAsia="zh-CN"/>
        </w:rPr>
        <w:t>2021年</w:t>
      </w:r>
      <w:r>
        <w:rPr>
          <w:rFonts w:hint="eastAsia" w:ascii="仿宋" w:hAnsi="仿宋" w:eastAsia="仿宋" w:cs="仿宋"/>
          <w:sz w:val="32"/>
          <w:szCs w:val="32"/>
          <w:highlight w:val="none"/>
          <w:lang w:eastAsia="zh-CN"/>
        </w:rPr>
        <w:t>支付人民调解员补助。天门市司法所及调委会的人民调解办公经费当年未办理报账。</w:t>
      </w:r>
    </w:p>
    <w:p>
      <w:pPr>
        <w:pStyle w:val="14"/>
        <w:wordWrap/>
        <w:adjustRightInd/>
        <w:spacing w:line="560" w:lineRule="exact"/>
        <w:rPr>
          <w:rFonts w:hint="eastAsia"/>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）档案管理不够规范。在现场核查过程发现部分区县人民调解档案资料不够完整，未统一归档存放，案卷中缺乏结案考评和反馈意见，需继续完善。</w:t>
      </w:r>
    </w:p>
    <w:p>
      <w:pPr>
        <w:widowControl w:val="0"/>
        <w:wordWrap/>
        <w:adjustRightInd/>
        <w:snapToGrid/>
        <w:spacing w:line="560" w:lineRule="exact"/>
        <w:ind w:firstLine="643" w:firstLineChars="200"/>
        <w:textAlignment w:val="auto"/>
        <w:outlineLvl w:val="1"/>
        <w:rPr>
          <w:rFonts w:hint="default" w:ascii="楷体" w:hAnsi="楷体" w:eastAsia="楷体" w:cs="楷体"/>
          <w:b/>
          <w:sz w:val="32"/>
          <w:szCs w:val="32"/>
          <w:lang w:val="en-US" w:eastAsia="zh-CN"/>
        </w:rPr>
      </w:pPr>
      <w:bookmarkStart w:id="7" w:name="_Toc450"/>
      <w:r>
        <w:rPr>
          <w:rFonts w:hint="default" w:ascii="楷体" w:hAnsi="楷体" w:eastAsia="楷体" w:cs="楷体"/>
          <w:b/>
          <w:sz w:val="32"/>
          <w:szCs w:val="32"/>
          <w:lang w:val="en-US" w:eastAsia="zh-CN"/>
        </w:rPr>
        <w:t>（</w:t>
      </w:r>
      <w:r>
        <w:rPr>
          <w:rFonts w:hint="eastAsia" w:ascii="楷体" w:hAnsi="楷体" w:eastAsia="楷体" w:cs="楷体"/>
          <w:b/>
          <w:sz w:val="32"/>
          <w:szCs w:val="32"/>
          <w:lang w:val="en-US" w:eastAsia="zh-CN"/>
        </w:rPr>
        <w:t>四</w:t>
      </w:r>
      <w:r>
        <w:rPr>
          <w:rFonts w:hint="default" w:ascii="楷体" w:hAnsi="楷体" w:eastAsia="楷体" w:cs="楷体"/>
          <w:b/>
          <w:sz w:val="32"/>
          <w:szCs w:val="32"/>
          <w:lang w:val="en-US" w:eastAsia="zh-CN"/>
        </w:rPr>
        <w:t>）下一步</w:t>
      </w:r>
      <w:r>
        <w:rPr>
          <w:rFonts w:hint="eastAsia" w:ascii="楷体" w:hAnsi="楷体" w:eastAsia="楷体" w:cs="楷体"/>
          <w:b/>
          <w:sz w:val="32"/>
          <w:szCs w:val="32"/>
          <w:lang w:val="en-US" w:eastAsia="zh-CN"/>
        </w:rPr>
        <w:t>拟改进</w:t>
      </w:r>
      <w:r>
        <w:rPr>
          <w:rFonts w:hint="default" w:ascii="楷体" w:hAnsi="楷体" w:eastAsia="楷体" w:cs="楷体"/>
          <w:b/>
          <w:sz w:val="32"/>
          <w:szCs w:val="32"/>
          <w:lang w:val="en-US" w:eastAsia="zh-CN"/>
        </w:rPr>
        <w:t>措施</w:t>
      </w:r>
      <w:bookmarkEnd w:id="7"/>
    </w:p>
    <w:p>
      <w:pPr>
        <w:widowControl w:val="0"/>
        <w:wordWrap/>
        <w:adjustRightInd/>
        <w:snapToGrid/>
        <w:spacing w:line="560" w:lineRule="exact"/>
        <w:ind w:firstLine="643" w:firstLineChars="200"/>
        <w:textAlignment w:val="auto"/>
        <w:outlineLvl w:val="1"/>
        <w:rPr>
          <w:rFonts w:hint="eastAsia" w:ascii="仿宋" w:hAnsi="仿宋" w:eastAsia="仿宋" w:cs="仿宋"/>
          <w:b/>
          <w:sz w:val="32"/>
          <w:szCs w:val="32"/>
          <w:lang w:val="en-US" w:eastAsia="zh-CN"/>
        </w:rPr>
      </w:pPr>
      <w:bookmarkStart w:id="8" w:name="_Toc16197"/>
      <w:r>
        <w:rPr>
          <w:rFonts w:hint="eastAsia" w:ascii="仿宋" w:hAnsi="仿宋" w:eastAsia="仿宋" w:cs="仿宋"/>
          <w:b/>
          <w:sz w:val="32"/>
          <w:szCs w:val="32"/>
          <w:lang w:val="en-US" w:eastAsia="zh-CN"/>
        </w:rPr>
        <w:t>1.下一步拟改进措施</w:t>
      </w:r>
      <w:bookmarkEnd w:id="8"/>
    </w:p>
    <w:p>
      <w:pPr>
        <w:pStyle w:val="14"/>
        <w:widowControl w:val="0"/>
        <w:wordWrap/>
        <w:adjustRightInd/>
        <w:snapToGrid/>
        <w:spacing w:line="560" w:lineRule="exact"/>
        <w:ind w:left="0" w:leftChars="0" w:right="0"/>
        <w:textAlignment w:val="auto"/>
        <w:rPr>
          <w:rFonts w:hint="eastAsia" w:ascii="仿宋" w:hAnsi="仿宋" w:eastAsia="仿宋" w:cs="仿宋"/>
          <w:b w:val="0"/>
          <w:bCs/>
          <w:sz w:val="32"/>
          <w:szCs w:val="32"/>
          <w:lang w:val="en-US" w:eastAsia="zh-CN"/>
        </w:rPr>
      </w:pPr>
      <w:r>
        <w:rPr>
          <w:rFonts w:hint="default" w:ascii="仿宋" w:hAnsi="仿宋" w:eastAsia="仿宋" w:cs="仿宋"/>
          <w:b w:val="0"/>
          <w:bCs/>
          <w:sz w:val="32"/>
          <w:szCs w:val="32"/>
          <w:lang w:val="en-US" w:eastAsia="zh-CN"/>
        </w:rPr>
        <w:t>（1）</w:t>
      </w:r>
      <w:r>
        <w:rPr>
          <w:rFonts w:hint="eastAsia" w:ascii="仿宋" w:hAnsi="仿宋" w:eastAsia="仿宋" w:cs="仿宋"/>
          <w:b w:val="0"/>
          <w:bCs/>
          <w:sz w:val="32"/>
          <w:szCs w:val="32"/>
          <w:lang w:val="en-US" w:eastAsia="zh-CN"/>
        </w:rPr>
        <w:t>加快资金的分配下达</w:t>
      </w:r>
      <w:r>
        <w:rPr>
          <w:rFonts w:hint="default" w:ascii="仿宋" w:hAnsi="仿宋" w:eastAsia="仿宋" w:cs="仿宋"/>
          <w:b w:val="0"/>
          <w:bCs/>
          <w:sz w:val="32"/>
          <w:szCs w:val="32"/>
          <w:lang w:val="en-US" w:eastAsia="zh-CN"/>
        </w:rPr>
        <w:t>。</w:t>
      </w:r>
      <w:r>
        <w:rPr>
          <w:rFonts w:hint="eastAsia" w:ascii="仿宋" w:hAnsi="仿宋" w:eastAsia="仿宋" w:cs="仿宋"/>
          <w:b w:val="0"/>
          <w:bCs/>
          <w:sz w:val="32"/>
          <w:szCs w:val="32"/>
          <w:lang w:val="en-US" w:eastAsia="zh-CN"/>
        </w:rPr>
        <w:t>市、县财政部门收到省级转移支付资金后，应当在15个工作日内分解下达本级司法行政部门，司法行政部门要按照下达预算的科目、项目和国库集中支付制度有关规定执行转移支付资金，不得截留、挤占、挪用或擅自调整。</w:t>
      </w:r>
    </w:p>
    <w:p>
      <w:pPr>
        <w:wordWrap/>
        <w:adjustRightIn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加快资金使用进度。各地司法局要按照《湖北省人民调解转移支付经费管理办法》，及时对人民调解员工作进行考核，发放人民调解员工作补助，督促各调委会和司法所及时办理报账程序。</w:t>
      </w:r>
    </w:p>
    <w:p>
      <w:pPr>
        <w:wordWrap/>
        <w:adjustRightIn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b w:val="0"/>
          <w:bCs/>
          <w:sz w:val="32"/>
          <w:szCs w:val="32"/>
          <w:lang w:val="en-US" w:eastAsia="zh-CN"/>
        </w:rPr>
        <w:t xml:space="preserve">加强各地业务考核工作，要求各地司法行政部门建立健全的档案资料归档制度，并将其纳入到绩效考核范围。  </w:t>
      </w:r>
    </w:p>
    <w:p>
      <w:pPr>
        <w:wordWrap/>
        <w:adjustRightInd/>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拟与预算安排相结合</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绩效自评结果拟作为下一年度</w:t>
      </w:r>
      <w:r>
        <w:rPr>
          <w:rFonts w:ascii="仿宋" w:hAnsi="仿宋" w:eastAsia="仿宋" w:cs="仿宋"/>
          <w:sz w:val="32"/>
          <w:szCs w:val="32"/>
        </w:rPr>
        <w:t>分配</w:t>
      </w:r>
      <w:r>
        <w:rPr>
          <w:rFonts w:hint="eastAsia" w:ascii="仿宋" w:hAnsi="仿宋" w:eastAsia="仿宋" w:cs="仿宋"/>
          <w:sz w:val="32"/>
          <w:szCs w:val="32"/>
        </w:rPr>
        <w:t>人民调解</w:t>
      </w:r>
      <w:r>
        <w:rPr>
          <w:rFonts w:ascii="仿宋" w:hAnsi="仿宋" w:eastAsia="仿宋" w:cs="仿宋"/>
          <w:sz w:val="32"/>
          <w:szCs w:val="32"/>
        </w:rPr>
        <w:t>转移支付资金</w:t>
      </w:r>
      <w:r>
        <w:rPr>
          <w:rFonts w:hint="eastAsia" w:ascii="仿宋" w:hAnsi="仿宋" w:eastAsia="仿宋" w:cs="仿宋"/>
          <w:sz w:val="32"/>
          <w:szCs w:val="32"/>
        </w:rPr>
        <w:t>的重要依据。</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建立项目绩效考核机制，将项目实施过程和自评结果与人员绩效考核挂钩，增强项目实施人员的积极性和责任心，正确引导项目实施方向，确保实现项目目标。</w:t>
      </w:r>
    </w:p>
    <w:p>
      <w:pPr>
        <w:wordWrap/>
        <w:adjustRightInd/>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拟公开情况</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按照省级部门预决算公开的要求，将项目绩效自评结果随部门预决算一并公开。</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在部门内部进行通报，并按照政府信息公开的有关规定在省司法厅门户网站公示。</w:t>
      </w:r>
    </w:p>
    <w:p>
      <w:pPr>
        <w:wordWrap/>
        <w:adjustRightInd/>
        <w:spacing w:line="560" w:lineRule="exact"/>
        <w:ind w:firstLine="643" w:firstLineChars="200"/>
        <w:rPr>
          <w:rFonts w:hint="eastAsia" w:ascii="黑体" w:hAnsi="黑体" w:eastAsia="黑体"/>
          <w:b/>
          <w:sz w:val="32"/>
          <w:szCs w:val="32"/>
        </w:rPr>
        <w:sectPr>
          <w:footerReference r:id="rId5" w:type="default"/>
          <w:pgSz w:w="11906" w:h="16838"/>
          <w:pgMar w:top="2098" w:right="1474" w:bottom="1984" w:left="1587" w:header="851" w:footer="992" w:gutter="0"/>
          <w:pgNumType w:fmt="decimal" w:start="1"/>
          <w:cols w:space="720" w:num="1"/>
          <w:docGrid w:type="lines" w:linePitch="312" w:charSpace="0"/>
        </w:sectPr>
      </w:pPr>
    </w:p>
    <w:p>
      <w:pPr>
        <w:wordWrap/>
        <w:adjustRightInd/>
        <w:spacing w:line="560" w:lineRule="exact"/>
        <w:rPr>
          <w:rFonts w:hint="eastAsia" w:ascii="黑体" w:hAnsi="黑体" w:eastAsia="黑体"/>
          <w:b/>
          <w:sz w:val="32"/>
          <w:szCs w:val="32"/>
          <w:lang w:val="en-US" w:eastAsia="zh-CN"/>
        </w:rPr>
      </w:pPr>
      <w:r>
        <w:rPr>
          <w:rFonts w:hint="eastAsia" w:ascii="黑体" w:hAnsi="黑体" w:eastAsia="黑体"/>
          <w:b/>
          <w:sz w:val="32"/>
          <w:szCs w:val="32"/>
          <w:lang w:val="en-US" w:eastAsia="zh-CN"/>
        </w:rPr>
        <w:t xml:space="preserve">    二、佐证材料</w:t>
      </w:r>
    </w:p>
    <w:p>
      <w:pPr>
        <w:widowControl w:val="0"/>
        <w:wordWrap/>
        <w:adjustRightInd/>
        <w:snapToGrid/>
        <w:spacing w:line="560" w:lineRule="exact"/>
        <w:ind w:firstLine="643" w:firstLineChars="200"/>
        <w:textAlignment w:val="auto"/>
        <w:outlineLvl w:val="1"/>
        <w:rPr>
          <w:rFonts w:hint="eastAsia" w:ascii="楷体" w:hAnsi="楷体" w:eastAsia="楷体" w:cs="楷体"/>
          <w:b/>
          <w:sz w:val="32"/>
          <w:szCs w:val="32"/>
          <w:lang w:eastAsia="zh-CN"/>
        </w:rPr>
      </w:pPr>
      <w:bookmarkStart w:id="9" w:name="_Toc3663"/>
      <w:r>
        <w:rPr>
          <w:rFonts w:hint="eastAsia" w:ascii="楷体" w:hAnsi="楷体" w:eastAsia="楷体" w:cs="楷体"/>
          <w:b/>
          <w:sz w:val="32"/>
          <w:szCs w:val="32"/>
          <w:lang w:val="en-US" w:eastAsia="zh-CN"/>
        </w:rPr>
        <w:t>（一）</w:t>
      </w:r>
      <w:r>
        <w:rPr>
          <w:rFonts w:hint="eastAsia" w:ascii="楷体" w:hAnsi="楷体" w:eastAsia="楷体" w:cs="楷体"/>
          <w:b/>
          <w:sz w:val="32"/>
          <w:szCs w:val="32"/>
          <w:lang w:eastAsia="zh-CN"/>
        </w:rPr>
        <w:t>基本情况</w:t>
      </w:r>
      <w:bookmarkEnd w:id="9"/>
    </w:p>
    <w:p>
      <w:pPr>
        <w:widowControl w:val="0"/>
        <w:wordWrap/>
        <w:adjustRightInd/>
        <w:snapToGrid/>
        <w:spacing w:line="560" w:lineRule="exact"/>
        <w:ind w:firstLine="643" w:firstLineChars="200"/>
        <w:textAlignment w:val="auto"/>
        <w:outlineLvl w:val="1"/>
        <w:rPr>
          <w:rFonts w:hint="eastAsia" w:ascii="楷体" w:hAnsi="楷体" w:eastAsia="楷体" w:cs="楷体"/>
          <w:b/>
          <w:sz w:val="32"/>
          <w:szCs w:val="32"/>
          <w:lang w:eastAsia="zh-CN"/>
        </w:rPr>
      </w:pPr>
      <w:bookmarkStart w:id="10" w:name="_Toc5566"/>
      <w:r>
        <w:rPr>
          <w:rFonts w:hint="eastAsia" w:ascii="楷体" w:hAnsi="楷体" w:eastAsia="楷体" w:cs="楷体"/>
          <w:b/>
          <w:sz w:val="32"/>
          <w:szCs w:val="32"/>
          <w:lang w:val="en-US" w:eastAsia="zh-CN"/>
        </w:rPr>
        <w:t>1.</w:t>
      </w:r>
      <w:r>
        <w:rPr>
          <w:rFonts w:hint="eastAsia" w:ascii="楷体" w:hAnsi="楷体" w:eastAsia="楷体" w:cs="楷体"/>
          <w:b/>
          <w:sz w:val="32"/>
          <w:szCs w:val="32"/>
          <w:lang w:eastAsia="zh-CN"/>
        </w:rPr>
        <w:t>项目立项目的和年度绩效目标</w:t>
      </w:r>
      <w:bookmarkEnd w:id="10"/>
    </w:p>
    <w:p>
      <w:pPr>
        <w:widowControl w:val="0"/>
        <w:wordWrap/>
        <w:adjustRightInd/>
        <w:snapToGrid/>
        <w:spacing w:line="560" w:lineRule="exact"/>
        <w:ind w:firstLine="643" w:firstLineChars="200"/>
        <w:textAlignment w:val="auto"/>
        <w:outlineLvl w:val="1"/>
        <w:rPr>
          <w:rFonts w:hint="eastAsia" w:ascii="仿宋" w:hAnsi="仿宋" w:eastAsia="仿宋" w:cs="仿宋"/>
          <w:b/>
          <w:sz w:val="32"/>
          <w:szCs w:val="32"/>
          <w:lang w:eastAsia="zh-CN"/>
        </w:rPr>
      </w:pPr>
      <w:bookmarkStart w:id="11" w:name="_Toc2584"/>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）项目立项目的</w:t>
      </w:r>
      <w:bookmarkEnd w:id="11"/>
    </w:p>
    <w:p>
      <w:pPr>
        <w:wordWrap/>
        <w:adjustRightInd/>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lang w:val="en-US" w:eastAsia="zh-CN"/>
        </w:rPr>
        <w:t>为加强预防和化解社会矛盾机制建设,正确处理人民内部矛盾，全省人民调解组织和广大人民调解员以坚持好、发展好“枫桥经验”，解决影响社会稳定的源头性、根本性、基础性问题，实现矛盾不上交为主线，扎实开展矛盾纠纷排查调处活动,有效地把各种矛盾纠纷化解在基层，解决在萌芽状态，有力维护了我省社会和谐稳定。根据《人民调解法》、《湖北省人民调解规定》和财政部、司法部《关于进一步加强人民调解工作经费保障的意见》（财行〔2007〕179号）精神，经省政府批准，设立人民调解转移支付项目。</w:t>
      </w:r>
    </w:p>
    <w:p>
      <w:pPr>
        <w:wordWrap/>
        <w:adjustRightInd/>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r>
        <w:rPr>
          <w:rFonts w:hint="eastAsia" w:ascii="仿宋" w:hAnsi="仿宋" w:eastAsia="仿宋" w:cs="仿宋"/>
          <w:b/>
          <w:sz w:val="32"/>
          <w:szCs w:val="32"/>
        </w:rPr>
        <w:t>年度绩效目标</w:t>
      </w:r>
    </w:p>
    <w:p>
      <w:pPr>
        <w:wordWrap/>
        <w:adjustRightIn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加大基层人民调解员培训力度，强化专职人民调解员队伍建设，加大矛盾纠纷排查力度，扎紧筑牢第一道防线，把80%的矛盾纠纷化解在乡镇（街道）、村（居）。</w:t>
      </w:r>
    </w:p>
    <w:p>
      <w:pPr>
        <w:wordWrap/>
        <w:adjustRightInd/>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val="en-US" w:eastAsia="zh-CN"/>
        </w:rPr>
        <w:t>2.</w:t>
      </w:r>
      <w:r>
        <w:rPr>
          <w:rFonts w:hint="eastAsia" w:ascii="楷体" w:hAnsi="楷体" w:eastAsia="楷体" w:cs="楷体"/>
          <w:b/>
          <w:sz w:val="32"/>
          <w:szCs w:val="32"/>
        </w:rPr>
        <w:t>项目资金情况</w:t>
      </w:r>
    </w:p>
    <w:p>
      <w:pPr>
        <w:wordWrap/>
        <w:adjustRightInd/>
        <w:spacing w:line="56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本项目为持续性、常年性项目，经费来源为公共预算财政</w:t>
      </w:r>
      <w:r>
        <w:rPr>
          <w:rFonts w:hint="eastAsia" w:ascii="仿宋" w:hAnsi="仿宋" w:eastAsia="仿宋" w:cs="仿宋"/>
          <w:sz w:val="32"/>
          <w:szCs w:val="32"/>
          <w:highlight w:val="none"/>
        </w:rPr>
        <w:t>拨款和其他资金拨款，</w:t>
      </w:r>
      <w:r>
        <w:rPr>
          <w:rFonts w:hint="eastAsia" w:ascii="仿宋" w:hAnsi="仿宋" w:eastAsia="仿宋" w:cs="仿宋"/>
          <w:sz w:val="32"/>
          <w:szCs w:val="32"/>
          <w:lang w:eastAsia="zh-CN"/>
        </w:rPr>
        <w:t>包括省级人民调解转移支付资金、市县财政安排资金和其他资金。</w:t>
      </w:r>
      <w:r>
        <w:rPr>
          <w:rFonts w:hint="eastAsia" w:ascii="仿宋" w:hAnsi="仿宋" w:eastAsia="仿宋" w:cs="仿宋"/>
          <w:sz w:val="32"/>
          <w:szCs w:val="32"/>
          <w:highlight w:val="none"/>
        </w:rPr>
        <w:t>用于全省市县基层司法行政机关开展人民调解工作。</w:t>
      </w:r>
    </w:p>
    <w:p>
      <w:pPr>
        <w:wordWrap/>
        <w:adjustRightInd/>
        <w:spacing w:line="56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2020年</w:t>
      </w:r>
      <w:r>
        <w:rPr>
          <w:rFonts w:hint="eastAsia" w:ascii="仿宋" w:hAnsi="仿宋" w:eastAsia="仿宋" w:cs="仿宋"/>
          <w:sz w:val="32"/>
          <w:szCs w:val="32"/>
          <w:highlight w:val="none"/>
        </w:rPr>
        <w:t>度项目资金财政预算安排4,876.13万元，资金来源为：省对下</w:t>
      </w:r>
      <w:r>
        <w:rPr>
          <w:rFonts w:hint="eastAsia" w:ascii="仿宋" w:hAnsi="仿宋" w:eastAsia="仿宋" w:cs="仿宋"/>
          <w:sz w:val="32"/>
          <w:szCs w:val="32"/>
          <w:highlight w:val="none"/>
          <w:lang w:eastAsia="zh-CN"/>
        </w:rPr>
        <w:t>人民调解</w:t>
      </w:r>
      <w:r>
        <w:rPr>
          <w:rFonts w:hint="eastAsia" w:ascii="仿宋" w:hAnsi="仿宋" w:eastAsia="仿宋" w:cs="仿宋"/>
          <w:sz w:val="32"/>
          <w:szCs w:val="32"/>
          <w:highlight w:val="none"/>
        </w:rPr>
        <w:t>转移支付1,000.00万元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市县级财政补助3,817.08 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其他资金（上年结余）59.05 万元。</w:t>
      </w:r>
    </w:p>
    <w:p>
      <w:pPr>
        <w:wordWrap/>
        <w:adjustRightInd/>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当年实际执行4,075.27万元，</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人民调解员补贴经费1,246.72</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工作补助经费1,509.08</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其他1,319.47</w:t>
      </w:r>
      <w:r>
        <w:rPr>
          <w:rFonts w:hint="eastAsia" w:ascii="仿宋" w:hAnsi="仿宋" w:eastAsia="仿宋" w:cs="仿宋"/>
          <w:sz w:val="32"/>
          <w:szCs w:val="32"/>
          <w:highlight w:val="none"/>
          <w:lang w:eastAsia="zh-CN"/>
        </w:rPr>
        <w:t>万元。</w:t>
      </w:r>
    </w:p>
    <w:p>
      <w:pPr>
        <w:wordWrap/>
        <w:adjustRightInd/>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（二）部门</w:t>
      </w:r>
      <w:r>
        <w:rPr>
          <w:rFonts w:hint="eastAsia" w:ascii="楷体" w:hAnsi="楷体" w:eastAsia="楷体" w:cs="楷体"/>
          <w:b/>
          <w:sz w:val="32"/>
          <w:szCs w:val="32"/>
        </w:rPr>
        <w:t>自评工作开展情况</w:t>
      </w:r>
    </w:p>
    <w:p>
      <w:pPr>
        <w:wordWrap/>
        <w:adjustRightInd/>
        <w:spacing w:line="560" w:lineRule="exact"/>
        <w:ind w:firstLine="643" w:firstLineChars="200"/>
        <w:rPr>
          <w:rFonts w:hint="eastAsia" w:ascii="楷体" w:hAnsi="楷体" w:eastAsia="楷体" w:cs="楷体"/>
          <w:b/>
          <w:sz w:val="32"/>
          <w:szCs w:val="32"/>
          <w:lang w:val="en-US" w:eastAsia="zh-CN"/>
        </w:rPr>
      </w:pPr>
      <w:bookmarkStart w:id="12" w:name="_Hlk10023645"/>
      <w:r>
        <w:rPr>
          <w:rFonts w:hint="eastAsia" w:ascii="楷体" w:hAnsi="楷体" w:eastAsia="楷体" w:cs="楷体"/>
          <w:b/>
          <w:sz w:val="32"/>
          <w:szCs w:val="32"/>
          <w:lang w:val="en-US" w:eastAsia="zh-CN"/>
        </w:rPr>
        <w:t>1.评价的目的和范围</w:t>
      </w:r>
    </w:p>
    <w:p>
      <w:pPr>
        <w:wordWrap/>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绩效评价的目的是为了提高人民调解转移支付资金资源配置的效率和使用效益，保障项目的顺利的开展。</w:t>
      </w:r>
    </w:p>
    <w:p>
      <w:pPr>
        <w:wordWrap/>
        <w:adjustRightIn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绩效评价的范围是全覆盖。对省内109个地区的人民调解资金使用和绩效目标完成情况进行绩效监督，确保资金使用的合规性和高效性，保障资金使用能落到实处，并能良好的效果。</w:t>
      </w:r>
    </w:p>
    <w:p>
      <w:pPr>
        <w:wordWrap/>
        <w:adjustRightInd/>
        <w:spacing w:line="560" w:lineRule="exact"/>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2.评价抽样情况、时间安排、评价方法</w:t>
      </w:r>
    </w:p>
    <w:p>
      <w:pPr>
        <w:wordWrap/>
        <w:adjustRightInd/>
        <w:spacing w:line="560" w:lineRule="exact"/>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抽样情况</w:t>
      </w:r>
    </w:p>
    <w:p>
      <w:pPr>
        <w:wordWrap/>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所有2020年度省对下人民调解转移支付项目中安排了资金的县（市、区）司法局均需要进行绩效自评，填报自评表。绩效评价工作组对14个地区进行现场核查，21个地区电话核实，核实率达到32.11%。</w:t>
      </w:r>
    </w:p>
    <w:p>
      <w:pPr>
        <w:wordWrap/>
        <w:adjustRightInd/>
        <w:spacing w:line="560"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时间安排</w:t>
      </w:r>
    </w:p>
    <w:p>
      <w:pPr>
        <w:wordWrap/>
        <w:adjustRightIn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省司法厅2020年度财政支出绩效评价工作方案》和《省司法厅关于开展2020年度省对下转移支付项目绩效评价的通知》明确了绩效自评的原则、程序、方法和具体的实施步骤，省对下人民调解转移支付项目绩效评价于2021年3月-4月开展。</w:t>
      </w:r>
    </w:p>
    <w:p>
      <w:pPr>
        <w:wordWrap/>
        <w:adjustRightInd/>
        <w:spacing w:line="560" w:lineRule="exact"/>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③</w:t>
      </w:r>
      <w:r>
        <w:rPr>
          <w:rFonts w:hint="eastAsia" w:ascii="仿宋" w:hAnsi="仿宋" w:eastAsia="仿宋" w:cs="仿宋"/>
          <w:sz w:val="32"/>
          <w:szCs w:val="32"/>
          <w:lang w:val="en-US" w:eastAsia="zh-CN"/>
        </w:rPr>
        <w:t>评价体系和综合评价方法</w:t>
      </w:r>
    </w:p>
    <w:p>
      <w:pPr>
        <w:wordWrap/>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根据本项目的立项目的及项目特点设定评分体系，主要从预算执行情况和绩效目标完成情况进行考评。</w:t>
      </w:r>
    </w:p>
    <w:p>
      <w:pPr>
        <w:wordWrap/>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绩效评价设置总分100分，预算执行情况20分，绩效目标完成情况80分，其中产出指标60分，效益指标（满意度指标）20分。</w:t>
      </w:r>
    </w:p>
    <w:tbl>
      <w:tblPr>
        <w:tblStyle w:val="13"/>
        <w:tblW w:w="9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5"/>
        <w:gridCol w:w="1417"/>
        <w:gridCol w:w="1483"/>
        <w:gridCol w:w="1478"/>
        <w:gridCol w:w="1546"/>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Style w:val="31"/>
                <w:lang w:val="en-US" w:eastAsia="zh-CN"/>
              </w:rPr>
              <w:t>预算执行情况</w:t>
            </w:r>
            <w:r>
              <w:rPr>
                <w:rStyle w:val="31"/>
                <w:lang w:val="en-US" w:eastAsia="zh-CN"/>
              </w:rPr>
              <w:br/>
            </w:r>
            <w:r>
              <w:rPr>
                <w:rFonts w:hint="eastAsia" w:ascii="宋体" w:hAnsi="宋体" w:eastAsia="宋体" w:cs="宋体"/>
                <w:b/>
                <w:bCs/>
                <w:i w:val="0"/>
                <w:iCs w:val="0"/>
                <w:color w:val="000000"/>
                <w:kern w:val="0"/>
                <w:sz w:val="20"/>
                <w:szCs w:val="20"/>
                <w:u w:val="none"/>
                <w:lang w:val="en-US" w:eastAsia="zh-CN"/>
              </w:rPr>
              <w:t>（20分）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预算数（A）</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执行数（B）</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执行率（B/A)</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rPr>
              <w:t>得分</w:t>
            </w:r>
            <w:r>
              <w:rPr>
                <w:rFonts w:hint="eastAsia" w:ascii="宋体" w:hAnsi="宋体" w:cs="宋体"/>
                <w:b/>
                <w:bCs/>
                <w:i w:val="0"/>
                <w:iCs w:val="0"/>
                <w:color w:val="000000"/>
                <w:kern w:val="0"/>
                <w:sz w:val="20"/>
                <w:szCs w:val="20"/>
                <w:u w:val="none"/>
                <w:lang w:val="en-US" w:eastAsia="zh-CN"/>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outlineLvl w:val="9"/>
              <w:rPr>
                <w:rFonts w:hint="eastAsia" w:ascii="宋体" w:hAnsi="宋体" w:eastAsia="宋体" w:cs="宋体"/>
                <w:b/>
                <w:bCs/>
                <w:i w:val="0"/>
                <w:iCs w:val="0"/>
                <w:color w:val="000000"/>
                <w:sz w:val="20"/>
                <w:szCs w:val="20"/>
                <w:highlight w:val="yellow"/>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left"/>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年度财政资金总额</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i w:val="0"/>
                <w:iCs w:val="0"/>
                <w:color w:val="000000"/>
                <w:sz w:val="20"/>
                <w:szCs w:val="20"/>
                <w:highlight w:val="yellow"/>
                <w:u w:val="none"/>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i w:val="0"/>
                <w:iCs w:val="0"/>
                <w:color w:val="000000"/>
                <w:sz w:val="20"/>
                <w:szCs w:val="20"/>
                <w:highlight w:val="yellow"/>
                <w:u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i w:val="0"/>
                <w:iCs w:val="0"/>
                <w:color w:val="000000"/>
                <w:sz w:val="20"/>
                <w:szCs w:val="20"/>
                <w:highlight w:val="yellow"/>
                <w:u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val="0"/>
                <w:bCs w:val="0"/>
                <w:i w:val="0"/>
                <w:iCs w:val="0"/>
                <w:color w:val="000000"/>
                <w:sz w:val="20"/>
                <w:szCs w:val="20"/>
                <w:highlight w:val="yellow"/>
                <w:u w:val="none"/>
              </w:rPr>
            </w:pPr>
            <w:r>
              <w:rPr>
                <w:rFonts w:hint="eastAsia" w:ascii="宋体" w:hAnsi="宋体" w:eastAsia="宋体" w:cs="宋体"/>
                <w:b w:val="0"/>
                <w:bCs w:val="0"/>
                <w:i w:val="0"/>
                <w:iCs w:val="0"/>
                <w:color w:val="000000"/>
                <w:kern w:val="0"/>
                <w:sz w:val="20"/>
                <w:szCs w:val="20"/>
                <w:u w:val="none"/>
                <w:lang w:val="en-US" w:eastAsia="zh-CN"/>
              </w:rPr>
              <w:t>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一级指标</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二级指标</w:t>
            </w:r>
          </w:p>
        </w:tc>
        <w:tc>
          <w:tcPr>
            <w:tcW w:w="2961"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三级指标</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年度指标值（A）</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产出指标    （</w:t>
            </w:r>
            <w:r>
              <w:rPr>
                <w:rFonts w:hint="eastAsia" w:ascii="宋体" w:hAnsi="宋体" w:cs="宋体"/>
                <w:b/>
                <w:bCs/>
                <w:i w:val="0"/>
                <w:iCs w:val="0"/>
                <w:color w:val="000000"/>
                <w:kern w:val="0"/>
                <w:sz w:val="20"/>
                <w:szCs w:val="20"/>
                <w:u w:val="none"/>
                <w:lang w:val="en-US" w:eastAsia="zh-CN"/>
              </w:rPr>
              <w:t>5</w:t>
            </w:r>
            <w:r>
              <w:rPr>
                <w:rFonts w:hint="eastAsia" w:ascii="宋体" w:hAnsi="宋体" w:eastAsia="宋体" w:cs="宋体"/>
                <w:b/>
                <w:bCs/>
                <w:i w:val="0"/>
                <w:iCs w:val="0"/>
                <w:color w:val="000000"/>
                <w:kern w:val="0"/>
                <w:sz w:val="20"/>
                <w:szCs w:val="20"/>
                <w:u w:val="none"/>
                <w:lang w:val="en-US" w:eastAsia="zh-CN"/>
              </w:rPr>
              <w:t>0分）</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rPr>
              <w:t>质量指标       （50分）</w:t>
            </w:r>
          </w:p>
        </w:tc>
        <w:tc>
          <w:tcPr>
            <w:tcW w:w="2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left"/>
              <w:textAlignment w:val="center"/>
              <w:outlineLvl w:val="9"/>
              <w:rPr>
                <w:rFonts w:hint="eastAsia" w:ascii="宋体" w:hAnsi="宋体" w:eastAsia="宋体" w:cs="宋体"/>
                <w:i w:val="0"/>
                <w:iCs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rPr>
              <w:t>人民调解成功率(25分）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i w:val="0"/>
                <w:iCs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rPr>
              <w:t>≥95%</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rPr>
              <w:t>2</w:t>
            </w:r>
            <w:r>
              <w:rPr>
                <w:rFonts w:hint="eastAsia" w:ascii="宋体" w:hAnsi="宋体" w:cs="宋体"/>
                <w:b w:val="0"/>
                <w:bCs w:val="0"/>
                <w:i w:val="0"/>
                <w:iCs w:val="0"/>
                <w:color w:val="000000"/>
                <w:kern w:val="0"/>
                <w:sz w:val="20"/>
                <w:szCs w:val="20"/>
                <w:u w:val="none"/>
                <w:lang w:val="en-US" w:eastAsia="zh-CN"/>
              </w:rPr>
              <w:t>5</w:t>
            </w:r>
            <w:r>
              <w:rPr>
                <w:rFonts w:hint="eastAsia" w:ascii="宋体" w:hAnsi="宋体" w:eastAsia="宋体" w:cs="宋体"/>
                <w:b w:val="0"/>
                <w:bCs w:val="0"/>
                <w:i w:val="0"/>
                <w:iCs w:val="0"/>
                <w:color w:val="000000"/>
                <w:kern w:val="0"/>
                <w:sz w:val="20"/>
                <w:szCs w:val="20"/>
                <w:u w:val="none"/>
                <w:lang w:val="en-US" w:eastAsia="zh-CN"/>
              </w:rPr>
              <w:t>分*</w:t>
            </w:r>
            <w:r>
              <w:rPr>
                <w:rFonts w:hint="eastAsia" w:ascii="宋体" w:hAnsi="宋体" w:cs="宋体"/>
                <w:b w:val="0"/>
                <w:bCs w:val="0"/>
                <w:i w:val="0"/>
                <w:iCs w:val="0"/>
                <w:color w:val="000000"/>
                <w:kern w:val="0"/>
                <w:sz w:val="20"/>
                <w:szCs w:val="20"/>
                <w:u w:val="none"/>
                <w:lang w:val="en-US" w:eastAsia="zh-CN"/>
              </w:rPr>
              <w:t>完成</w:t>
            </w:r>
            <w:r>
              <w:rPr>
                <w:rFonts w:hint="eastAsia" w:ascii="宋体" w:hAnsi="宋体" w:eastAsia="宋体" w:cs="宋体"/>
                <w:b w:val="0"/>
                <w:bCs w:val="0"/>
                <w:i w:val="0"/>
                <w:iCs w:val="0"/>
                <w:color w:val="000000"/>
                <w:kern w:val="0"/>
                <w:sz w:val="20"/>
                <w:szCs w:val="20"/>
                <w:u w:val="none"/>
                <w:lang w:val="en-US" w:eastAsia="zh-CN"/>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center"/>
              <w:outlineLvl w:val="9"/>
              <w:rPr>
                <w:rFonts w:hint="eastAsia" w:ascii="宋体" w:hAnsi="宋体" w:eastAsia="宋体" w:cs="宋体"/>
                <w:b/>
                <w:bCs/>
                <w:i w:val="0"/>
                <w:iCs w:val="0"/>
                <w:color w:val="000000"/>
                <w:sz w:val="20"/>
                <w:szCs w:val="20"/>
                <w:highlight w:val="yellow"/>
                <w:u w:val="none"/>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center"/>
              <w:outlineLvl w:val="9"/>
              <w:rPr>
                <w:rFonts w:hint="eastAsia" w:ascii="宋体" w:hAnsi="宋体" w:eastAsia="宋体" w:cs="宋体"/>
                <w:b/>
                <w:bCs/>
                <w:i w:val="0"/>
                <w:iCs w:val="0"/>
                <w:color w:val="000000"/>
                <w:sz w:val="20"/>
                <w:szCs w:val="20"/>
                <w:highlight w:val="yellow"/>
                <w:u w:val="none"/>
              </w:rPr>
            </w:pPr>
          </w:p>
        </w:tc>
        <w:tc>
          <w:tcPr>
            <w:tcW w:w="2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left"/>
              <w:textAlignment w:val="center"/>
              <w:outlineLvl w:val="9"/>
              <w:rPr>
                <w:rFonts w:hint="eastAsia" w:ascii="宋体" w:hAnsi="宋体" w:eastAsia="宋体" w:cs="宋体"/>
                <w:i w:val="0"/>
                <w:iCs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rPr>
              <w:t>人民调解协议履行率(25分）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≥90%</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rPr>
              <w:t>2</w:t>
            </w:r>
            <w:r>
              <w:rPr>
                <w:rFonts w:hint="eastAsia" w:ascii="宋体" w:hAnsi="宋体" w:cs="宋体"/>
                <w:b w:val="0"/>
                <w:bCs w:val="0"/>
                <w:i w:val="0"/>
                <w:iCs w:val="0"/>
                <w:color w:val="000000"/>
                <w:kern w:val="0"/>
                <w:sz w:val="20"/>
                <w:szCs w:val="20"/>
                <w:u w:val="none"/>
                <w:lang w:val="en-US" w:eastAsia="zh-CN"/>
              </w:rPr>
              <w:t>5</w:t>
            </w:r>
            <w:r>
              <w:rPr>
                <w:rFonts w:hint="eastAsia" w:ascii="宋体" w:hAnsi="宋体" w:eastAsia="宋体" w:cs="宋体"/>
                <w:b w:val="0"/>
                <w:bCs w:val="0"/>
                <w:i w:val="0"/>
                <w:iCs w:val="0"/>
                <w:color w:val="000000"/>
                <w:kern w:val="0"/>
                <w:sz w:val="20"/>
                <w:szCs w:val="20"/>
                <w:u w:val="none"/>
                <w:lang w:val="en-US" w:eastAsia="zh-CN"/>
              </w:rPr>
              <w:t>分*</w:t>
            </w:r>
            <w:r>
              <w:rPr>
                <w:rFonts w:hint="eastAsia" w:ascii="宋体" w:hAnsi="宋体" w:cs="宋体"/>
                <w:b w:val="0"/>
                <w:bCs w:val="0"/>
                <w:i w:val="0"/>
                <w:iCs w:val="0"/>
                <w:color w:val="000000"/>
                <w:kern w:val="0"/>
                <w:sz w:val="20"/>
                <w:szCs w:val="20"/>
                <w:u w:val="none"/>
                <w:lang w:val="en-US" w:eastAsia="zh-CN"/>
              </w:rPr>
              <w:t>完成</w:t>
            </w:r>
            <w:r>
              <w:rPr>
                <w:rFonts w:hint="eastAsia" w:ascii="宋体" w:hAnsi="宋体" w:eastAsia="宋体" w:cs="宋体"/>
                <w:b w:val="0"/>
                <w:bCs w:val="0"/>
                <w:i w:val="0"/>
                <w:iCs w:val="0"/>
                <w:color w:val="000000"/>
                <w:kern w:val="0"/>
                <w:sz w:val="20"/>
                <w:szCs w:val="20"/>
                <w:u w:val="none"/>
                <w:lang w:val="en-US" w:eastAsia="zh-CN"/>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满意度指标 （</w:t>
            </w:r>
            <w:r>
              <w:rPr>
                <w:rFonts w:hint="eastAsia" w:ascii="宋体" w:hAnsi="宋体" w:cs="宋体"/>
                <w:b/>
                <w:bCs/>
                <w:i w:val="0"/>
                <w:iCs w:val="0"/>
                <w:color w:val="000000"/>
                <w:kern w:val="0"/>
                <w:sz w:val="20"/>
                <w:szCs w:val="20"/>
                <w:u w:val="none"/>
                <w:lang w:val="en-US" w:eastAsia="zh-CN"/>
              </w:rPr>
              <w:t>3</w:t>
            </w:r>
            <w:r>
              <w:rPr>
                <w:rFonts w:hint="eastAsia" w:ascii="宋体" w:hAnsi="宋体" w:eastAsia="宋体" w:cs="宋体"/>
                <w:b/>
                <w:bCs/>
                <w:i w:val="0"/>
                <w:iCs w:val="0"/>
                <w:color w:val="000000"/>
                <w:kern w:val="0"/>
                <w:sz w:val="20"/>
                <w:szCs w:val="20"/>
                <w:u w:val="none"/>
                <w:lang w:val="en-US" w:eastAsia="zh-CN"/>
              </w:rPr>
              <w:t>0分）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服务对象满意度</w:t>
            </w:r>
          </w:p>
        </w:tc>
        <w:tc>
          <w:tcPr>
            <w:tcW w:w="2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adjustRightInd/>
              <w:snapToGrid/>
              <w:spacing w:line="300" w:lineRule="exact"/>
              <w:ind w:left="0" w:leftChars="0" w:right="0" w:firstLine="0" w:firstLineChars="0"/>
              <w:jc w:val="left"/>
              <w:textAlignment w:val="center"/>
              <w:outlineLvl w:val="9"/>
              <w:rPr>
                <w:rFonts w:hint="eastAsia" w:ascii="宋体" w:hAnsi="宋体" w:eastAsia="宋体" w:cs="宋体"/>
                <w:i w:val="0"/>
                <w:iCs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rPr>
              <w:t>当事人对人民调</w:t>
            </w:r>
            <w:bookmarkStart w:id="18" w:name="_GoBack"/>
            <w:bookmarkEnd w:id="18"/>
            <w:r>
              <w:rPr>
                <w:rFonts w:hint="eastAsia" w:ascii="宋体" w:hAnsi="宋体" w:eastAsia="宋体" w:cs="宋体"/>
                <w:i w:val="0"/>
                <w:color w:val="000000"/>
                <w:kern w:val="0"/>
                <w:sz w:val="20"/>
                <w:szCs w:val="20"/>
                <w:u w:val="none"/>
                <w:lang w:val="en-US" w:eastAsia="zh-CN"/>
              </w:rPr>
              <w:t>解工作满意度</w:t>
            </w:r>
            <w:r>
              <w:rPr>
                <w:rFonts w:hint="eastAsia" w:ascii="宋体" w:hAnsi="宋体" w:eastAsia="宋体" w:cs="宋体"/>
                <w:i w:val="0"/>
                <w:iCs w:val="0"/>
                <w:color w:val="000000"/>
                <w:kern w:val="0"/>
                <w:sz w:val="20"/>
                <w:szCs w:val="20"/>
                <w:u w:val="none"/>
                <w:lang w:val="en-US" w:eastAsia="zh-CN"/>
              </w:rPr>
              <w:t>（</w:t>
            </w:r>
            <w:r>
              <w:rPr>
                <w:rFonts w:hint="eastAsia" w:ascii="宋体" w:hAnsi="宋体" w:cs="宋体"/>
                <w:i w:val="0"/>
                <w:iCs w:val="0"/>
                <w:color w:val="000000"/>
                <w:kern w:val="0"/>
                <w:sz w:val="20"/>
                <w:szCs w:val="20"/>
                <w:u w:val="none"/>
                <w:lang w:val="en-US" w:eastAsia="zh-CN"/>
              </w:rPr>
              <w:t>3</w:t>
            </w:r>
            <w:r>
              <w:rPr>
                <w:rFonts w:hint="eastAsia" w:ascii="宋体" w:hAnsi="宋体" w:eastAsia="宋体" w:cs="宋体"/>
                <w:i w:val="0"/>
                <w:iCs w:val="0"/>
                <w:color w:val="000000"/>
                <w:kern w:val="0"/>
                <w:sz w:val="20"/>
                <w:szCs w:val="20"/>
                <w:u w:val="none"/>
                <w:lang w:val="en-US" w:eastAsia="zh-CN"/>
              </w:rPr>
              <w:t>0分）</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i w:val="0"/>
                <w:iCs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rPr>
              <w:t>≥80%</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cs="宋体"/>
                <w:b w:val="0"/>
                <w:bCs w:val="0"/>
                <w:i w:val="0"/>
                <w:iCs w:val="0"/>
                <w:color w:val="000000"/>
                <w:kern w:val="0"/>
                <w:sz w:val="20"/>
                <w:szCs w:val="20"/>
                <w:u w:val="none"/>
                <w:lang w:val="en-US" w:eastAsia="zh-CN"/>
              </w:rPr>
              <w:t>3</w:t>
            </w:r>
            <w:r>
              <w:rPr>
                <w:rFonts w:hint="eastAsia" w:ascii="宋体" w:hAnsi="宋体" w:eastAsia="宋体" w:cs="宋体"/>
                <w:b w:val="0"/>
                <w:bCs w:val="0"/>
                <w:i w:val="0"/>
                <w:iCs w:val="0"/>
                <w:color w:val="000000"/>
                <w:kern w:val="0"/>
                <w:sz w:val="20"/>
                <w:szCs w:val="20"/>
                <w:u w:val="none"/>
                <w:lang w:val="en-US" w:eastAsia="zh-CN"/>
              </w:rPr>
              <w:t>0分*</w:t>
            </w:r>
            <w:r>
              <w:rPr>
                <w:rFonts w:hint="eastAsia" w:ascii="宋体" w:hAnsi="宋体" w:cs="宋体"/>
                <w:b w:val="0"/>
                <w:bCs w:val="0"/>
                <w:i w:val="0"/>
                <w:iCs w:val="0"/>
                <w:color w:val="000000"/>
                <w:kern w:val="0"/>
                <w:sz w:val="20"/>
                <w:szCs w:val="20"/>
                <w:u w:val="none"/>
                <w:lang w:val="en-US" w:eastAsia="zh-CN"/>
              </w:rPr>
              <w:t>完成</w:t>
            </w:r>
            <w:r>
              <w:rPr>
                <w:rFonts w:hint="eastAsia" w:ascii="宋体" w:hAnsi="宋体" w:eastAsia="宋体" w:cs="宋体"/>
                <w:b w:val="0"/>
                <w:bCs w:val="0"/>
                <w:i w:val="0"/>
                <w:iCs w:val="0"/>
                <w:color w:val="000000"/>
                <w:kern w:val="0"/>
                <w:sz w:val="20"/>
                <w:szCs w:val="20"/>
                <w:u w:val="none"/>
                <w:lang w:val="en-US" w:eastAsia="zh-CN"/>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trPr>
        <w:tc>
          <w:tcPr>
            <w:tcW w:w="15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约束性指标</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b/>
                <w:bCs/>
                <w:i w:val="0"/>
                <w:iCs w:val="0"/>
                <w:color w:val="000000"/>
                <w:sz w:val="20"/>
                <w:szCs w:val="20"/>
                <w:highlight w:val="yellow"/>
                <w:u w:val="none"/>
              </w:rPr>
            </w:pPr>
            <w:r>
              <w:rPr>
                <w:rFonts w:hint="eastAsia" w:ascii="宋体" w:hAnsi="宋体" w:eastAsia="宋体" w:cs="宋体"/>
                <w:b/>
                <w:bCs/>
                <w:i w:val="0"/>
                <w:iCs w:val="0"/>
                <w:color w:val="000000"/>
                <w:kern w:val="0"/>
                <w:sz w:val="20"/>
                <w:szCs w:val="20"/>
                <w:u w:val="none"/>
                <w:lang w:val="en-US" w:eastAsia="zh-CN"/>
              </w:rPr>
              <w:t>资金管理</w:t>
            </w:r>
          </w:p>
        </w:tc>
        <w:tc>
          <w:tcPr>
            <w:tcW w:w="2961"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left"/>
              <w:textAlignment w:val="center"/>
              <w:outlineLvl w:val="9"/>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rPr>
              <w:t>资金管理合规性</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rPr>
              <w:t>合规</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default"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rPr>
              <w:t>合规不扣分，若不合规扣10分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5963"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eastAsia="宋体" w:cs="宋体"/>
                <w:i w:val="0"/>
                <w:iCs w:val="0"/>
                <w:color w:val="000000"/>
                <w:kern w:val="0"/>
                <w:sz w:val="20"/>
                <w:szCs w:val="20"/>
                <w:u w:val="none"/>
                <w:lang w:val="en-US" w:eastAsia="zh-CN"/>
              </w:rPr>
            </w:pPr>
            <w:r>
              <w:rPr>
                <w:rFonts w:hint="eastAsia" w:ascii="宋体" w:hAnsi="宋体" w:cs="宋体"/>
                <w:b/>
                <w:bCs/>
                <w:i w:val="0"/>
                <w:iCs w:val="0"/>
                <w:color w:val="000000"/>
                <w:kern w:val="0"/>
                <w:sz w:val="20"/>
                <w:szCs w:val="20"/>
                <w:u w:val="none"/>
                <w:lang w:val="en-US" w:eastAsia="zh-CN"/>
              </w:rPr>
              <w:t>总   分</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default"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100分</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left="0" w:leftChars="0" w:right="0" w:firstLine="0" w:firstLineChars="0"/>
              <w:jc w:val="center"/>
              <w:textAlignment w:val="center"/>
              <w:outlineLvl w:val="9"/>
              <w:rPr>
                <w:rFonts w:hint="eastAsia" w:ascii="宋体" w:hAnsi="宋体" w:cs="宋体"/>
                <w:i w:val="0"/>
                <w:iCs w:val="0"/>
                <w:color w:val="000000"/>
                <w:kern w:val="0"/>
                <w:sz w:val="20"/>
                <w:szCs w:val="20"/>
                <w:u w:val="none"/>
                <w:lang w:val="en-US" w:eastAsia="zh-CN"/>
              </w:rPr>
            </w:pPr>
          </w:p>
        </w:tc>
      </w:tr>
    </w:tbl>
    <w:p>
      <w:pPr>
        <w:wordWrap/>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本次评价主要使用了成本效益分析法、因素分析法和公众评判法。</w:t>
      </w:r>
    </w:p>
    <w:p>
      <w:pPr>
        <w:wordWrap/>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成本效益分析法是指将投入与产出、效益进行关联性分析的方法。本次评价通过将投入与绩效目标的实现情况进行分析对比，实现对本项目的考评。</w:t>
      </w:r>
    </w:p>
    <w:p>
      <w:pPr>
        <w:wordWrap/>
        <w:adjustRightIn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因素分析法是指综合分析影响绩效目标实现、实现效果的内外部因素的方法。特别是对绩效目标没有完成的原因通过分析内外部原因，提出下一步改进措施。</w:t>
      </w:r>
    </w:p>
    <w:p>
      <w:pPr>
        <w:pStyle w:val="14"/>
        <w:wordWrap/>
        <w:adjustRightInd/>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公众评判法是指通过专家评估、公众问卷及抽样调查等方式进行评判的方法。本次评价通过对人民调解对象发放调查问卷的方式，了解当事人对人民调解工作的满意程度，据此进行评价。</w:t>
      </w:r>
    </w:p>
    <w:bookmarkEnd w:id="12"/>
    <w:p>
      <w:pPr>
        <w:wordWrap/>
        <w:adjustRightInd/>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（三）</w:t>
      </w:r>
      <w:r>
        <w:rPr>
          <w:rFonts w:hint="eastAsia" w:ascii="楷体" w:hAnsi="楷体" w:eastAsia="楷体" w:cs="楷体"/>
          <w:b/>
          <w:sz w:val="32"/>
          <w:szCs w:val="32"/>
        </w:rPr>
        <w:t>绩效目标完成情况分析</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总体来看，</w:t>
      </w:r>
      <w:bookmarkStart w:id="13" w:name="_Hlk10025916"/>
      <w:r>
        <w:rPr>
          <w:rFonts w:hint="eastAsia" w:ascii="仿宋" w:hAnsi="仿宋" w:eastAsia="仿宋" w:cs="仿宋"/>
          <w:sz w:val="32"/>
          <w:szCs w:val="32"/>
          <w:lang w:eastAsia="zh-CN"/>
        </w:rPr>
        <w:t>全省基层司法行政机关</w:t>
      </w:r>
      <w:r>
        <w:rPr>
          <w:rFonts w:hint="eastAsia" w:ascii="仿宋" w:hAnsi="仿宋" w:eastAsia="仿宋" w:cs="仿宋"/>
          <w:sz w:val="32"/>
          <w:szCs w:val="32"/>
        </w:rPr>
        <w:t>较好地完成了</w:t>
      </w:r>
      <w:r>
        <w:rPr>
          <w:rFonts w:hint="eastAsia" w:ascii="仿宋" w:hAnsi="仿宋" w:eastAsia="仿宋" w:cs="仿宋"/>
          <w:sz w:val="32"/>
          <w:szCs w:val="32"/>
          <w:lang w:eastAsia="zh-CN"/>
        </w:rPr>
        <w:t>2020年</w:t>
      </w:r>
      <w:r>
        <w:rPr>
          <w:rFonts w:hint="eastAsia" w:ascii="仿宋" w:hAnsi="仿宋" w:eastAsia="仿宋" w:cs="仿宋"/>
          <w:sz w:val="32"/>
          <w:szCs w:val="32"/>
        </w:rPr>
        <w:t>度绩效目标。</w:t>
      </w:r>
      <w:bookmarkEnd w:id="13"/>
      <w:r>
        <w:rPr>
          <w:rFonts w:hint="eastAsia" w:ascii="仿宋" w:hAnsi="仿宋" w:eastAsia="仿宋" w:cs="仿宋"/>
          <w:sz w:val="32"/>
          <w:szCs w:val="32"/>
        </w:rPr>
        <w:t>项目绩效自评得分9</w:t>
      </w:r>
      <w:r>
        <w:rPr>
          <w:rFonts w:hint="eastAsia" w:ascii="仿宋" w:hAnsi="仿宋" w:eastAsia="仿宋" w:cs="仿宋"/>
          <w:sz w:val="32"/>
          <w:szCs w:val="32"/>
          <w:lang w:val="en-US" w:eastAsia="zh-CN"/>
        </w:rPr>
        <w:t>4.55</w:t>
      </w:r>
      <w:r>
        <w:rPr>
          <w:rFonts w:hint="eastAsia" w:ascii="仿宋" w:hAnsi="仿宋" w:eastAsia="仿宋" w:cs="仿宋"/>
          <w:sz w:val="32"/>
          <w:szCs w:val="32"/>
        </w:rPr>
        <w:t>分，自评等级为“优”。</w:t>
      </w:r>
    </w:p>
    <w:p>
      <w:pPr>
        <w:wordWrap/>
        <w:adjustRightInd/>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1</w:t>
      </w:r>
      <w:bookmarkStart w:id="14" w:name="_Hlk10020066"/>
      <w:r>
        <w:rPr>
          <w:rFonts w:hint="eastAsia" w:ascii="仿宋" w:hAnsi="仿宋" w:eastAsia="仿宋" w:cs="仿宋"/>
          <w:b/>
          <w:sz w:val="32"/>
          <w:szCs w:val="32"/>
          <w:lang w:eastAsia="zh-CN"/>
        </w:rPr>
        <w:t>.</w:t>
      </w:r>
      <w:r>
        <w:rPr>
          <w:rFonts w:hint="eastAsia" w:ascii="仿宋" w:hAnsi="仿宋" w:eastAsia="仿宋" w:cs="仿宋"/>
          <w:b/>
          <w:sz w:val="32"/>
          <w:szCs w:val="32"/>
        </w:rPr>
        <w:t>项目预算执行情况分析</w:t>
      </w:r>
    </w:p>
    <w:p>
      <w:pPr>
        <w:widowControl w:val="0"/>
        <w:wordWrap/>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指标目标值为100%，设定分值20分。</w:t>
      </w:r>
      <w:r>
        <w:rPr>
          <w:rFonts w:hint="eastAsia" w:ascii="仿宋" w:hAnsi="仿宋" w:eastAsia="仿宋"/>
          <w:color w:val="auto"/>
          <w:sz w:val="32"/>
          <w:szCs w:val="32"/>
        </w:rPr>
        <w:t>指标实际完成值为</w:t>
      </w:r>
      <w:r>
        <w:rPr>
          <w:rFonts w:hint="eastAsia" w:ascii="仿宋" w:hAnsi="仿宋" w:eastAsia="仿宋" w:cs="仿宋"/>
          <w:color w:val="auto"/>
          <w:sz w:val="32"/>
          <w:szCs w:val="32"/>
          <w:lang w:val="en-US" w:eastAsia="zh-CN"/>
        </w:rPr>
        <w:t>83.58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得分</w:t>
      </w:r>
      <w:r>
        <w:rPr>
          <w:rFonts w:hint="eastAsia" w:ascii="仿宋" w:hAnsi="仿宋" w:eastAsia="仿宋" w:cs="仿宋"/>
          <w:color w:val="auto"/>
          <w:sz w:val="32"/>
          <w:szCs w:val="32"/>
          <w:lang w:val="en-US" w:eastAsia="zh-CN"/>
        </w:rPr>
        <w:t>16.72分。</w:t>
      </w:r>
    </w:p>
    <w:p>
      <w:pPr>
        <w:widowControl w:val="0"/>
        <w:wordWrap/>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2020年</w:t>
      </w:r>
      <w:r>
        <w:rPr>
          <w:rFonts w:hint="eastAsia" w:ascii="仿宋" w:hAnsi="仿宋" w:eastAsia="仿宋" w:cs="仿宋"/>
          <w:sz w:val="32"/>
          <w:szCs w:val="32"/>
          <w:highlight w:val="none"/>
        </w:rPr>
        <w:t>度项目资金财政预算安排4,876.13万元，资金来源为：省对下</w:t>
      </w:r>
      <w:r>
        <w:rPr>
          <w:rFonts w:hint="eastAsia" w:ascii="仿宋" w:hAnsi="仿宋" w:eastAsia="仿宋" w:cs="仿宋"/>
          <w:sz w:val="32"/>
          <w:szCs w:val="32"/>
          <w:highlight w:val="none"/>
          <w:lang w:eastAsia="zh-CN"/>
        </w:rPr>
        <w:t>人民调解</w:t>
      </w:r>
      <w:r>
        <w:rPr>
          <w:rFonts w:hint="eastAsia" w:ascii="仿宋" w:hAnsi="仿宋" w:eastAsia="仿宋" w:cs="仿宋"/>
          <w:sz w:val="32"/>
          <w:szCs w:val="32"/>
          <w:highlight w:val="none"/>
        </w:rPr>
        <w:t>转移支付1,000.00万元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市县级财政补助3,817.08 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其他资金（上年结余）59.05 万元。</w:t>
      </w:r>
    </w:p>
    <w:bookmarkEnd w:id="14"/>
    <w:p>
      <w:pPr>
        <w:wordWrap/>
        <w:adjustRightInd/>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当年实际执行4,075.27万元，</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人民调解员补贴经费1,246.72</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工作补助经费1,509.08</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其他1,319.47</w:t>
      </w:r>
      <w:r>
        <w:rPr>
          <w:rFonts w:hint="eastAsia" w:ascii="仿宋" w:hAnsi="仿宋" w:eastAsia="仿宋" w:cs="仿宋"/>
          <w:sz w:val="32"/>
          <w:szCs w:val="32"/>
          <w:highlight w:val="none"/>
          <w:lang w:eastAsia="zh-CN"/>
        </w:rPr>
        <w:t>万元。</w:t>
      </w:r>
    </w:p>
    <w:p>
      <w:pPr>
        <w:widowControl w:val="0"/>
        <w:numPr>
          <w:numId w:val="0"/>
        </w:numPr>
        <w:wordWrap/>
        <w:adjustRightInd/>
        <w:snapToGrid/>
        <w:spacing w:line="560" w:lineRule="exact"/>
        <w:ind w:firstLine="640" w:firstLineChars="200"/>
        <w:textAlignment w:val="auto"/>
        <w:outlineLvl w:val="1"/>
        <w:rPr>
          <w:rFonts w:hint="eastAsia" w:ascii="仿宋" w:hAnsi="仿宋" w:eastAsia="仿宋" w:cs="仿宋"/>
          <w:sz w:val="32"/>
          <w:szCs w:val="32"/>
          <w:highlight w:val="none"/>
          <w:lang w:eastAsia="zh-CN"/>
        </w:rPr>
      </w:pPr>
      <w:r>
        <w:rPr>
          <w:rFonts w:hint="eastAsia" w:ascii="仿宋" w:hAnsi="仿宋" w:eastAsia="仿宋" w:cs="仿宋"/>
          <w:b w:val="0"/>
          <w:bCs/>
          <w:sz w:val="32"/>
          <w:szCs w:val="32"/>
        </w:rPr>
        <w:t>预算执行</w:t>
      </w:r>
      <w:r>
        <w:rPr>
          <w:rFonts w:hint="eastAsia" w:ascii="仿宋" w:hAnsi="仿宋" w:eastAsia="仿宋" w:cs="仿宋"/>
          <w:b w:val="0"/>
          <w:bCs/>
          <w:sz w:val="32"/>
          <w:szCs w:val="32"/>
          <w:lang w:eastAsia="zh-CN"/>
        </w:rPr>
        <w:t>率为</w:t>
      </w:r>
      <w:r>
        <w:rPr>
          <w:rFonts w:hint="eastAsia" w:ascii="仿宋" w:hAnsi="仿宋" w:eastAsia="仿宋" w:cs="仿宋"/>
          <w:b w:val="0"/>
          <w:bCs/>
          <w:color w:val="auto"/>
          <w:sz w:val="32"/>
          <w:szCs w:val="32"/>
          <w:lang w:val="en-US" w:eastAsia="zh-CN"/>
        </w:rPr>
        <w:t>83.58</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sz w:val="32"/>
          <w:szCs w:val="32"/>
          <w:highlight w:val="none"/>
        </w:rPr>
        <w:t>预算</w:t>
      </w:r>
      <w:r>
        <w:rPr>
          <w:rFonts w:hint="eastAsia" w:ascii="仿宋" w:hAnsi="仿宋" w:eastAsia="仿宋" w:cs="仿宋"/>
          <w:sz w:val="32"/>
          <w:szCs w:val="32"/>
          <w:highlight w:val="none"/>
        </w:rPr>
        <w:t>结余</w:t>
      </w:r>
      <w:r>
        <w:rPr>
          <w:rFonts w:hint="eastAsia" w:ascii="仿宋" w:hAnsi="仿宋" w:eastAsia="仿宋" w:cs="仿宋"/>
          <w:sz w:val="32"/>
          <w:szCs w:val="32"/>
          <w:highlight w:val="none"/>
          <w:lang w:val="en-US" w:eastAsia="zh-CN"/>
        </w:rPr>
        <w:t>800.86</w:t>
      </w:r>
      <w:r>
        <w:rPr>
          <w:rFonts w:hint="eastAsia" w:ascii="仿宋" w:hAnsi="仿宋" w:eastAsia="仿宋" w:cs="仿宋"/>
          <w:sz w:val="32"/>
          <w:szCs w:val="32"/>
          <w:highlight w:val="none"/>
        </w:rPr>
        <w:t>万元，执行有偏差的原因：一是部分地区收到转移支付时间较晚，资金安排在下一年度支付，造成资金有结余；二是受新冠肺炎疫情影响，2020年一季度</w:t>
      </w:r>
      <w:r>
        <w:rPr>
          <w:rFonts w:hint="eastAsia" w:ascii="仿宋" w:hAnsi="仿宋" w:eastAsia="仿宋" w:cs="仿宋"/>
          <w:sz w:val="32"/>
          <w:szCs w:val="32"/>
          <w:highlight w:val="none"/>
          <w:lang w:eastAsia="zh-CN"/>
        </w:rPr>
        <w:t>人民调解</w:t>
      </w:r>
      <w:r>
        <w:rPr>
          <w:rFonts w:hint="eastAsia" w:ascii="仿宋" w:hAnsi="仿宋" w:eastAsia="仿宋" w:cs="仿宋"/>
          <w:sz w:val="32"/>
          <w:szCs w:val="32"/>
          <w:highlight w:val="none"/>
        </w:rPr>
        <w:t>工作基本未开展，影响了整体进度</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三是部分地区</w:t>
      </w:r>
      <w:r>
        <w:rPr>
          <w:rFonts w:hint="eastAsia" w:ascii="仿宋" w:hAnsi="仿宋" w:eastAsia="仿宋" w:cs="仿宋"/>
          <w:sz w:val="32"/>
          <w:szCs w:val="32"/>
          <w:highlight w:val="none"/>
          <w:lang w:val="en-US" w:eastAsia="zh-CN"/>
        </w:rPr>
        <w:t>人民调解案件补贴费、调委会及司法所人民调解工作经费等未及时支付到位,如</w:t>
      </w:r>
      <w:r>
        <w:rPr>
          <w:rFonts w:hint="eastAsia" w:ascii="仿宋" w:hAnsi="仿宋" w:eastAsia="仿宋" w:cs="仿宋"/>
          <w:sz w:val="32"/>
          <w:szCs w:val="32"/>
          <w:highlight w:val="none"/>
          <w:lang w:eastAsia="zh-CN"/>
        </w:rPr>
        <w:t>潜江市司法局2021年初对人民调解员2020年度工作进行考评，根据考评结果在</w:t>
      </w:r>
      <w:r>
        <w:rPr>
          <w:rFonts w:hint="eastAsia" w:ascii="仿宋" w:hAnsi="仿宋" w:eastAsia="仿宋" w:cs="仿宋"/>
          <w:sz w:val="32"/>
          <w:szCs w:val="32"/>
          <w:highlight w:val="none"/>
          <w:lang w:val="en-US" w:eastAsia="zh-CN"/>
        </w:rPr>
        <w:t>2021年</w:t>
      </w:r>
      <w:r>
        <w:rPr>
          <w:rFonts w:hint="eastAsia" w:ascii="仿宋" w:hAnsi="仿宋" w:eastAsia="仿宋" w:cs="仿宋"/>
          <w:sz w:val="32"/>
          <w:szCs w:val="32"/>
          <w:highlight w:val="none"/>
          <w:lang w:eastAsia="zh-CN"/>
        </w:rPr>
        <w:t>支付人民调解员补助，天门市司法所及调委会的人民调解办公经费当年未办理报账。</w:t>
      </w:r>
    </w:p>
    <w:p>
      <w:pPr>
        <w:wordWrap/>
        <w:adjustRightInd/>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绩效目标完成情况分析</w:t>
      </w:r>
    </w:p>
    <w:p>
      <w:pPr>
        <w:wordWrap/>
        <w:adjustRightInd/>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r>
        <w:rPr>
          <w:rFonts w:hint="eastAsia" w:ascii="仿宋" w:hAnsi="仿宋" w:eastAsia="仿宋" w:cs="仿宋"/>
          <w:b/>
          <w:sz w:val="32"/>
          <w:szCs w:val="32"/>
        </w:rPr>
        <w:t>产出指标完成情况分析</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评价设定分值</w:t>
      </w:r>
      <w:r>
        <w:rPr>
          <w:rFonts w:hint="eastAsia" w:ascii="仿宋" w:hAnsi="仿宋" w:eastAsia="仿宋" w:cs="仿宋"/>
          <w:sz w:val="32"/>
          <w:szCs w:val="32"/>
          <w:lang w:val="en-US" w:eastAsia="zh-CN"/>
        </w:rPr>
        <w:t>50</w:t>
      </w:r>
      <w:r>
        <w:rPr>
          <w:rFonts w:hint="eastAsia" w:ascii="仿宋" w:hAnsi="仿宋" w:eastAsia="仿宋" w:cs="仿宋"/>
          <w:sz w:val="32"/>
          <w:szCs w:val="32"/>
        </w:rPr>
        <w:t>分，综合评价得分</w:t>
      </w:r>
      <w:r>
        <w:rPr>
          <w:rFonts w:hint="eastAsia" w:ascii="仿宋" w:hAnsi="仿宋" w:eastAsia="仿宋" w:cs="仿宋"/>
          <w:sz w:val="32"/>
          <w:szCs w:val="32"/>
          <w:lang w:val="en-US" w:eastAsia="zh-CN"/>
        </w:rPr>
        <w:t>50</w:t>
      </w:r>
      <w:r>
        <w:rPr>
          <w:rFonts w:hint="eastAsia" w:ascii="仿宋" w:hAnsi="仿宋" w:eastAsia="仿宋" w:cs="仿宋"/>
          <w:sz w:val="32"/>
          <w:szCs w:val="32"/>
        </w:rPr>
        <w:t>分，得分率100%。具体分析如下：</w:t>
      </w:r>
    </w:p>
    <w:p>
      <w:pPr>
        <w:wordWrap/>
        <w:adjustRightInd/>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人民调解成功率</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指标目标值为≥95.2%，设定分值</w:t>
      </w:r>
      <w:r>
        <w:rPr>
          <w:rFonts w:hint="eastAsia" w:ascii="仿宋" w:hAnsi="仿宋" w:eastAsia="仿宋" w:cs="仿宋"/>
          <w:sz w:val="32"/>
          <w:szCs w:val="32"/>
          <w:lang w:val="en-US" w:eastAsia="zh-CN"/>
        </w:rPr>
        <w:t>25</w:t>
      </w:r>
      <w:r>
        <w:rPr>
          <w:rFonts w:hint="eastAsia" w:ascii="仿宋" w:hAnsi="仿宋" w:eastAsia="仿宋" w:cs="仿宋"/>
          <w:sz w:val="32"/>
          <w:szCs w:val="32"/>
        </w:rPr>
        <w:t>分。</w:t>
      </w:r>
      <w:r>
        <w:rPr>
          <w:rFonts w:hint="eastAsia" w:ascii="仿宋" w:hAnsi="仿宋" w:eastAsia="仿宋"/>
          <w:sz w:val="32"/>
          <w:szCs w:val="32"/>
        </w:rPr>
        <w:t>指标实际完成数值为</w:t>
      </w:r>
      <w:r>
        <w:rPr>
          <w:rFonts w:hint="eastAsia" w:ascii="仿宋" w:hAnsi="仿宋" w:eastAsia="仿宋" w:cs="仿宋"/>
          <w:sz w:val="32"/>
          <w:szCs w:val="32"/>
        </w:rPr>
        <w:t>97.</w:t>
      </w:r>
      <w:r>
        <w:rPr>
          <w:rFonts w:hint="eastAsia" w:ascii="仿宋" w:hAnsi="仿宋" w:eastAsia="仿宋" w:cs="仿宋"/>
          <w:sz w:val="32"/>
          <w:szCs w:val="32"/>
          <w:lang w:val="en-US" w:eastAsia="zh-CN"/>
        </w:rPr>
        <w:t>78</w:t>
      </w:r>
      <w:r>
        <w:rPr>
          <w:rFonts w:hint="eastAsia" w:ascii="仿宋" w:hAnsi="仿宋" w:eastAsia="仿宋" w:cs="仿宋"/>
          <w:sz w:val="32"/>
          <w:szCs w:val="32"/>
        </w:rPr>
        <w:t>%，指标完成率100%，得</w:t>
      </w:r>
      <w:r>
        <w:rPr>
          <w:rFonts w:hint="eastAsia" w:ascii="仿宋" w:hAnsi="仿宋" w:eastAsia="仿宋" w:cs="仿宋"/>
          <w:sz w:val="32"/>
          <w:szCs w:val="32"/>
          <w:lang w:val="en-US" w:eastAsia="zh-CN"/>
        </w:rPr>
        <w:t>25</w:t>
      </w:r>
      <w:r>
        <w:rPr>
          <w:rFonts w:hint="eastAsia" w:ascii="仿宋" w:hAnsi="仿宋" w:eastAsia="仿宋" w:cs="仿宋"/>
          <w:sz w:val="32"/>
          <w:szCs w:val="32"/>
        </w:rPr>
        <w:t>分。</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2020年</w:t>
      </w:r>
      <w:r>
        <w:rPr>
          <w:rFonts w:hint="eastAsia" w:ascii="仿宋" w:hAnsi="仿宋" w:eastAsia="仿宋" w:cs="仿宋"/>
          <w:sz w:val="32"/>
          <w:szCs w:val="32"/>
        </w:rPr>
        <w:t>，</w:t>
      </w:r>
      <w:r>
        <w:rPr>
          <w:rFonts w:hint="eastAsia" w:ascii="仿宋" w:hAnsi="仿宋" w:eastAsia="仿宋" w:cs="仿宋"/>
          <w:sz w:val="32"/>
          <w:szCs w:val="32"/>
          <w:lang w:eastAsia="zh-CN"/>
        </w:rPr>
        <w:t>全省各级司法行政机关</w:t>
      </w:r>
      <w:r>
        <w:rPr>
          <w:rFonts w:hint="eastAsia" w:ascii="仿宋" w:hAnsi="仿宋" w:eastAsia="仿宋" w:cs="仿宋"/>
          <w:sz w:val="32"/>
          <w:szCs w:val="32"/>
        </w:rPr>
        <w:t>精心部署扎实开展专项活动</w:t>
      </w:r>
      <w:r>
        <w:rPr>
          <w:rFonts w:hint="eastAsia" w:ascii="仿宋" w:hAnsi="仿宋" w:eastAsia="仿宋" w:cs="仿宋"/>
          <w:sz w:val="32"/>
          <w:szCs w:val="32"/>
          <w:lang w:eastAsia="zh-CN"/>
        </w:rPr>
        <w:t>，</w:t>
      </w:r>
      <w:r>
        <w:rPr>
          <w:rFonts w:hint="eastAsia" w:ascii="仿宋" w:hAnsi="仿宋" w:eastAsia="仿宋" w:cs="仿宋"/>
          <w:sz w:val="32"/>
          <w:szCs w:val="32"/>
        </w:rPr>
        <w:t>积极开展</w:t>
      </w:r>
      <w:r>
        <w:rPr>
          <w:rFonts w:hint="eastAsia" w:ascii="仿宋" w:hAnsi="仿宋" w:eastAsia="仿宋" w:cs="仿宋"/>
          <w:sz w:val="32"/>
          <w:szCs w:val="32"/>
          <w:lang w:eastAsia="zh-CN"/>
        </w:rPr>
        <w:t>“</w:t>
      </w:r>
      <w:r>
        <w:rPr>
          <w:rFonts w:hint="eastAsia" w:ascii="仿宋" w:hAnsi="仿宋" w:eastAsia="仿宋" w:cs="仿宋"/>
          <w:sz w:val="32"/>
          <w:szCs w:val="32"/>
        </w:rPr>
        <w:t>涉疫情矛盾纠纷集中排查化解专项行动”</w:t>
      </w:r>
      <w:r>
        <w:rPr>
          <w:rFonts w:hint="eastAsia" w:ascii="仿宋" w:hAnsi="仿宋" w:eastAsia="仿宋" w:cs="仿宋"/>
          <w:sz w:val="32"/>
          <w:szCs w:val="32"/>
          <w:lang w:eastAsia="zh-CN"/>
        </w:rPr>
        <w:t>等，</w:t>
      </w:r>
      <w:r>
        <w:rPr>
          <w:rFonts w:hint="eastAsia" w:ascii="仿宋" w:hAnsi="仿宋" w:eastAsia="仿宋" w:cs="仿宋"/>
          <w:sz w:val="32"/>
          <w:szCs w:val="32"/>
        </w:rPr>
        <w:t>着力把矛盾纠纷排查作为常态性工作来抓，充分发挥基层司法所、人民调解组织遍布城乡的网络优势开展矛盾纠纷排查</w:t>
      </w:r>
      <w:r>
        <w:rPr>
          <w:rFonts w:hint="eastAsia" w:ascii="仿宋" w:hAnsi="仿宋" w:eastAsia="仿宋" w:cs="仿宋"/>
          <w:sz w:val="32"/>
          <w:szCs w:val="32"/>
          <w:lang w:eastAsia="zh-CN"/>
        </w:rPr>
        <w:t>、调解工作，</w:t>
      </w:r>
      <w:r>
        <w:rPr>
          <w:rFonts w:hint="eastAsia" w:ascii="仿宋" w:hAnsi="仿宋" w:eastAsia="仿宋" w:cs="仿宋"/>
          <w:sz w:val="32"/>
          <w:szCs w:val="32"/>
        </w:rPr>
        <w:t>切实把矛盾纠纷</w:t>
      </w:r>
      <w:r>
        <w:rPr>
          <w:rFonts w:hint="eastAsia" w:ascii="仿宋" w:hAnsi="仿宋" w:eastAsia="仿宋" w:cs="仿宋"/>
          <w:sz w:val="32"/>
          <w:szCs w:val="32"/>
          <w:lang w:eastAsia="zh-CN"/>
        </w:rPr>
        <w:t>处理在基层。</w:t>
      </w:r>
      <w:r>
        <w:rPr>
          <w:rFonts w:hint="eastAsia" w:ascii="仿宋" w:hAnsi="仿宋" w:eastAsia="仿宋" w:cs="仿宋"/>
          <w:sz w:val="32"/>
          <w:szCs w:val="32"/>
        </w:rPr>
        <w:t>全省受理调解案件233,548件，调解成功228,372件，成功率达97.</w:t>
      </w:r>
      <w:r>
        <w:rPr>
          <w:rFonts w:hint="eastAsia" w:ascii="仿宋" w:hAnsi="仿宋" w:eastAsia="仿宋" w:cs="仿宋"/>
          <w:sz w:val="32"/>
          <w:szCs w:val="32"/>
          <w:lang w:val="en-US" w:eastAsia="zh-CN"/>
        </w:rPr>
        <w:t>78</w:t>
      </w:r>
      <w:r>
        <w:rPr>
          <w:rFonts w:hint="eastAsia" w:ascii="仿宋" w:hAnsi="仿宋" w:eastAsia="仿宋" w:cs="仿宋"/>
          <w:sz w:val="32"/>
          <w:szCs w:val="32"/>
        </w:rPr>
        <w:t>%。</w:t>
      </w:r>
    </w:p>
    <w:p>
      <w:pPr>
        <w:wordWrap/>
        <w:adjustRightInd/>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人民调解协议履行率</w:t>
      </w:r>
    </w:p>
    <w:p>
      <w:pPr>
        <w:wordWrap/>
        <w:adjustRightIn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指标目标值为≥90%，设定分值</w:t>
      </w:r>
      <w:r>
        <w:rPr>
          <w:rFonts w:hint="eastAsia" w:ascii="仿宋" w:hAnsi="仿宋" w:eastAsia="仿宋" w:cs="仿宋"/>
          <w:sz w:val="32"/>
          <w:szCs w:val="32"/>
          <w:lang w:val="en-US" w:eastAsia="zh-CN"/>
        </w:rPr>
        <w:t>2</w:t>
      </w:r>
      <w:r>
        <w:rPr>
          <w:rFonts w:hint="eastAsia" w:ascii="仿宋" w:hAnsi="仿宋" w:eastAsia="仿宋" w:cs="仿宋"/>
          <w:sz w:val="32"/>
          <w:szCs w:val="32"/>
        </w:rPr>
        <w:t>5分。</w:t>
      </w:r>
      <w:r>
        <w:rPr>
          <w:rFonts w:hint="eastAsia" w:ascii="仿宋" w:hAnsi="仿宋" w:eastAsia="仿宋"/>
          <w:sz w:val="32"/>
          <w:szCs w:val="32"/>
        </w:rPr>
        <w:t>指标实际完成数值为</w:t>
      </w:r>
      <w:r>
        <w:rPr>
          <w:rFonts w:hint="eastAsia" w:ascii="仿宋" w:hAnsi="仿宋" w:eastAsia="仿宋" w:cs="仿宋"/>
          <w:sz w:val="32"/>
          <w:szCs w:val="32"/>
        </w:rPr>
        <w:t>9</w:t>
      </w:r>
      <w:r>
        <w:rPr>
          <w:rFonts w:hint="eastAsia" w:ascii="仿宋" w:hAnsi="仿宋" w:eastAsia="仿宋" w:cs="仿宋"/>
          <w:sz w:val="32"/>
          <w:szCs w:val="32"/>
          <w:lang w:val="en-US" w:eastAsia="zh-CN"/>
        </w:rPr>
        <w:t>7</w:t>
      </w:r>
      <w:r>
        <w:rPr>
          <w:rFonts w:hint="eastAsia" w:ascii="仿宋" w:hAnsi="仿宋" w:eastAsia="仿宋" w:cs="仿宋"/>
          <w:sz w:val="32"/>
          <w:szCs w:val="32"/>
        </w:rPr>
        <w:t>%，指标完成率100%，得</w:t>
      </w:r>
      <w:r>
        <w:rPr>
          <w:rFonts w:hint="eastAsia" w:ascii="仿宋" w:hAnsi="仿宋" w:eastAsia="仿宋" w:cs="仿宋"/>
          <w:sz w:val="32"/>
          <w:szCs w:val="32"/>
          <w:lang w:val="en-US" w:eastAsia="zh-CN"/>
        </w:rPr>
        <w:t>2</w:t>
      </w:r>
      <w:r>
        <w:rPr>
          <w:rFonts w:hint="eastAsia" w:ascii="仿宋" w:hAnsi="仿宋" w:eastAsia="仿宋" w:cs="仿宋"/>
          <w:sz w:val="32"/>
          <w:szCs w:val="32"/>
        </w:rPr>
        <w:t>5分。</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为有效提高人民调解协议履行率，</w:t>
      </w:r>
      <w:r>
        <w:rPr>
          <w:rFonts w:hint="eastAsia" w:ascii="仿宋" w:hAnsi="仿宋" w:eastAsia="仿宋" w:cs="仿宋"/>
          <w:sz w:val="32"/>
          <w:szCs w:val="32"/>
          <w:lang w:eastAsia="zh-CN"/>
        </w:rPr>
        <w:t>全省司法行政部门</w:t>
      </w:r>
      <w:r>
        <w:rPr>
          <w:rFonts w:hint="eastAsia" w:ascii="仿宋" w:hAnsi="仿宋" w:eastAsia="仿宋" w:cs="仿宋"/>
          <w:sz w:val="32"/>
          <w:szCs w:val="32"/>
        </w:rPr>
        <w:t>一是全方位构建人民调解组织网络</w:t>
      </w:r>
      <w:r>
        <w:rPr>
          <w:rFonts w:hint="eastAsia" w:ascii="仿宋" w:hAnsi="仿宋" w:eastAsia="仿宋" w:cs="仿宋"/>
          <w:sz w:val="32"/>
          <w:szCs w:val="32"/>
          <w:lang w:eastAsia="zh-CN"/>
        </w:rPr>
        <w:t>，</w:t>
      </w:r>
      <w:r>
        <w:rPr>
          <w:rFonts w:hint="eastAsia" w:ascii="仿宋" w:hAnsi="仿宋" w:eastAsia="仿宋" w:cs="仿宋"/>
          <w:sz w:val="32"/>
          <w:szCs w:val="32"/>
        </w:rPr>
        <w:t>加强人民调解、行政调解、仲裁、司法调解衔接联动，实现调解资源集约化供给，打造矛盾纠纷多元化解新路径，为群众提供专业、优质的“一站式”调解服务</w:t>
      </w:r>
      <w:r>
        <w:rPr>
          <w:rFonts w:hint="eastAsia" w:ascii="仿宋" w:hAnsi="仿宋" w:eastAsia="仿宋" w:cs="仿宋"/>
          <w:sz w:val="32"/>
          <w:szCs w:val="32"/>
          <w:lang w:eastAsia="zh-CN"/>
        </w:rPr>
        <w:t>，保障调解协议的履行</w:t>
      </w:r>
      <w:r>
        <w:rPr>
          <w:rFonts w:hint="eastAsia" w:ascii="仿宋" w:hAnsi="仿宋" w:eastAsia="仿宋" w:cs="仿宋"/>
          <w:sz w:val="32"/>
          <w:szCs w:val="32"/>
        </w:rPr>
        <w:t>。</w:t>
      </w:r>
      <w:r>
        <w:rPr>
          <w:rFonts w:hint="eastAsia" w:ascii="仿宋" w:hAnsi="仿宋" w:eastAsia="仿宋" w:cs="仿宋"/>
          <w:sz w:val="32"/>
          <w:szCs w:val="32"/>
          <w:lang w:eastAsia="zh-CN"/>
        </w:rPr>
        <w:t>二是</w:t>
      </w:r>
      <w:r>
        <w:rPr>
          <w:rFonts w:hint="eastAsia" w:ascii="仿宋" w:hAnsi="仿宋" w:eastAsia="仿宋" w:cs="仿宋"/>
          <w:sz w:val="32"/>
          <w:szCs w:val="32"/>
        </w:rPr>
        <w:t>高质量打造人民调解队伍</w:t>
      </w:r>
      <w:r>
        <w:rPr>
          <w:rFonts w:hint="eastAsia" w:ascii="仿宋" w:hAnsi="仿宋" w:eastAsia="仿宋" w:cs="仿宋"/>
          <w:sz w:val="32"/>
          <w:szCs w:val="32"/>
          <w:lang w:eastAsia="zh-CN"/>
        </w:rPr>
        <w:t>，</w:t>
      </w:r>
      <w:r>
        <w:rPr>
          <w:rFonts w:hint="eastAsia" w:ascii="仿宋" w:hAnsi="仿宋" w:eastAsia="仿宋" w:cs="仿宋"/>
          <w:sz w:val="32"/>
          <w:szCs w:val="32"/>
        </w:rPr>
        <w:t>聘请法学、医学、心理学及环保等专业领域专家学者组建专家库，为人民调解组织化解矛盾及纠纷提供专业咨询，提升人民调解的权威性。</w:t>
      </w:r>
      <w:r>
        <w:rPr>
          <w:rFonts w:hint="eastAsia" w:ascii="仿宋" w:hAnsi="仿宋" w:eastAsia="仿宋" w:cs="仿宋"/>
          <w:sz w:val="32"/>
          <w:szCs w:val="32"/>
          <w:lang w:eastAsia="zh-CN"/>
        </w:rPr>
        <w:t>三</w:t>
      </w:r>
      <w:r>
        <w:rPr>
          <w:rFonts w:hint="eastAsia" w:ascii="仿宋" w:hAnsi="仿宋" w:eastAsia="仿宋" w:cs="仿宋"/>
          <w:sz w:val="32"/>
          <w:szCs w:val="32"/>
        </w:rPr>
        <w:t>是完善绩效考核机制，将矛盾纠纷排查调处工作纳入综合治理和平安建设体系，实施人民调解工作目标责任制，提升调解人员责任心。</w:t>
      </w:r>
      <w:r>
        <w:rPr>
          <w:rFonts w:hint="eastAsia" w:ascii="仿宋" w:hAnsi="仿宋" w:eastAsia="仿宋" w:cs="仿宋"/>
          <w:sz w:val="32"/>
          <w:szCs w:val="32"/>
          <w:lang w:eastAsia="zh-CN"/>
        </w:rPr>
        <w:t>2020年</w:t>
      </w:r>
      <w:r>
        <w:rPr>
          <w:rFonts w:hint="eastAsia" w:ascii="仿宋" w:hAnsi="仿宋" w:eastAsia="仿宋" w:cs="仿宋"/>
          <w:sz w:val="32"/>
          <w:szCs w:val="32"/>
        </w:rPr>
        <w:t>，全省登记人民调解达成协议案件228,372 件，完成调解结案协议履行221,529 件，人民调解</w:t>
      </w:r>
      <w:r>
        <w:rPr>
          <w:rFonts w:hint="eastAsia" w:ascii="仿宋" w:hAnsi="仿宋" w:eastAsia="仿宋" w:cs="仿宋"/>
          <w:sz w:val="32"/>
          <w:szCs w:val="32"/>
          <w:lang w:eastAsia="zh-CN"/>
        </w:rPr>
        <w:t>协议履行率</w:t>
      </w:r>
      <w:r>
        <w:rPr>
          <w:rFonts w:hint="eastAsia" w:ascii="仿宋" w:hAnsi="仿宋" w:eastAsia="仿宋" w:cs="仿宋"/>
          <w:sz w:val="32"/>
          <w:szCs w:val="32"/>
        </w:rPr>
        <w:t>达到9</w:t>
      </w:r>
      <w:r>
        <w:rPr>
          <w:rFonts w:hint="eastAsia" w:ascii="仿宋" w:hAnsi="仿宋" w:eastAsia="仿宋" w:cs="仿宋"/>
          <w:sz w:val="32"/>
          <w:szCs w:val="32"/>
          <w:lang w:val="en-US" w:eastAsia="zh-CN"/>
        </w:rPr>
        <w:t>7</w:t>
      </w:r>
      <w:r>
        <w:rPr>
          <w:rFonts w:hint="eastAsia" w:ascii="仿宋" w:hAnsi="仿宋" w:eastAsia="仿宋" w:cs="仿宋"/>
          <w:sz w:val="32"/>
          <w:szCs w:val="32"/>
        </w:rPr>
        <w:t>%。</w:t>
      </w:r>
    </w:p>
    <w:p>
      <w:pPr>
        <w:wordWrap/>
        <w:adjustRightInd/>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r>
        <w:rPr>
          <w:rFonts w:hint="eastAsia" w:ascii="仿宋" w:hAnsi="仿宋" w:eastAsia="仿宋" w:cs="仿宋"/>
          <w:b/>
          <w:sz w:val="32"/>
          <w:szCs w:val="32"/>
        </w:rPr>
        <w:t>效益指标</w:t>
      </w:r>
      <w:r>
        <w:rPr>
          <w:rFonts w:hint="eastAsia" w:ascii="仿宋" w:hAnsi="仿宋" w:eastAsia="仿宋" w:cs="仿宋"/>
          <w:b/>
          <w:sz w:val="32"/>
          <w:szCs w:val="32"/>
          <w:lang w:eastAsia="zh-CN"/>
        </w:rPr>
        <w:t>（满意度指标）</w:t>
      </w:r>
      <w:r>
        <w:rPr>
          <w:rFonts w:hint="eastAsia" w:ascii="仿宋" w:hAnsi="仿宋" w:eastAsia="仿宋" w:cs="仿宋"/>
          <w:b/>
          <w:sz w:val="32"/>
          <w:szCs w:val="32"/>
        </w:rPr>
        <w:t>完成情况分析</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评价设定分值</w:t>
      </w:r>
      <w:r>
        <w:rPr>
          <w:rFonts w:hint="eastAsia" w:ascii="仿宋" w:hAnsi="仿宋" w:eastAsia="仿宋" w:cs="仿宋"/>
          <w:sz w:val="32"/>
          <w:szCs w:val="32"/>
          <w:lang w:val="en-US" w:eastAsia="zh-CN"/>
        </w:rPr>
        <w:t>30</w:t>
      </w:r>
      <w:r>
        <w:rPr>
          <w:rFonts w:hint="eastAsia" w:ascii="仿宋" w:hAnsi="仿宋" w:eastAsia="仿宋" w:cs="仿宋"/>
          <w:sz w:val="32"/>
          <w:szCs w:val="32"/>
        </w:rPr>
        <w:t>分，综合评价得分</w:t>
      </w:r>
      <w:r>
        <w:rPr>
          <w:rFonts w:hint="eastAsia" w:ascii="仿宋" w:hAnsi="仿宋" w:eastAsia="仿宋" w:cs="仿宋"/>
          <w:sz w:val="32"/>
          <w:szCs w:val="32"/>
          <w:lang w:val="en-US" w:eastAsia="zh-CN"/>
        </w:rPr>
        <w:t>30</w:t>
      </w:r>
      <w:r>
        <w:rPr>
          <w:rFonts w:hint="eastAsia" w:ascii="仿宋" w:hAnsi="仿宋" w:eastAsia="仿宋" w:cs="仿宋"/>
          <w:sz w:val="32"/>
          <w:szCs w:val="32"/>
        </w:rPr>
        <w:t>分，得分率100%。</w:t>
      </w:r>
    </w:p>
    <w:p>
      <w:pPr>
        <w:wordWrap/>
        <w:adjustRightInd/>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当事人对人民调解工作满意度</w:t>
      </w:r>
    </w:p>
    <w:p>
      <w:pPr>
        <w:wordWrap/>
        <w:adjustRightIn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指标目标值为≥80%，设定分值</w:t>
      </w:r>
      <w:r>
        <w:rPr>
          <w:rFonts w:hint="eastAsia" w:ascii="仿宋" w:hAnsi="仿宋" w:eastAsia="仿宋" w:cs="仿宋"/>
          <w:sz w:val="32"/>
          <w:szCs w:val="32"/>
          <w:lang w:val="en-US" w:eastAsia="zh-CN"/>
        </w:rPr>
        <w:t>30</w:t>
      </w:r>
      <w:r>
        <w:rPr>
          <w:rFonts w:hint="eastAsia" w:ascii="仿宋" w:hAnsi="仿宋" w:eastAsia="仿宋" w:cs="仿宋"/>
          <w:sz w:val="32"/>
          <w:szCs w:val="32"/>
        </w:rPr>
        <w:t>分。</w:t>
      </w:r>
      <w:r>
        <w:rPr>
          <w:rFonts w:hint="eastAsia" w:ascii="仿宋" w:hAnsi="仿宋" w:eastAsia="仿宋"/>
          <w:sz w:val="32"/>
          <w:szCs w:val="32"/>
        </w:rPr>
        <w:t>指标实际完成数值为</w:t>
      </w:r>
      <w:r>
        <w:rPr>
          <w:rFonts w:hint="eastAsia" w:ascii="仿宋" w:hAnsi="仿宋" w:eastAsia="仿宋" w:cs="仿宋"/>
          <w:sz w:val="32"/>
          <w:szCs w:val="32"/>
        </w:rPr>
        <w:t>9</w:t>
      </w:r>
      <w:r>
        <w:rPr>
          <w:rFonts w:hint="eastAsia" w:ascii="仿宋" w:hAnsi="仿宋" w:eastAsia="仿宋" w:cs="仿宋"/>
          <w:sz w:val="32"/>
          <w:szCs w:val="32"/>
          <w:lang w:val="en-US" w:eastAsia="zh-CN"/>
        </w:rPr>
        <w:t>6.6</w:t>
      </w:r>
      <w:r>
        <w:rPr>
          <w:rFonts w:hint="eastAsia" w:ascii="仿宋" w:hAnsi="仿宋" w:eastAsia="仿宋" w:cs="仿宋"/>
          <w:sz w:val="32"/>
          <w:szCs w:val="32"/>
        </w:rPr>
        <w:t>%，指标完成率100%，得分</w:t>
      </w:r>
      <w:r>
        <w:rPr>
          <w:rFonts w:hint="eastAsia" w:ascii="仿宋" w:hAnsi="仿宋" w:eastAsia="仿宋" w:cs="仿宋"/>
          <w:sz w:val="32"/>
          <w:szCs w:val="32"/>
          <w:lang w:val="en-US" w:eastAsia="zh-CN"/>
        </w:rPr>
        <w:t>30</w:t>
      </w:r>
      <w:r>
        <w:rPr>
          <w:rFonts w:hint="eastAsia" w:ascii="仿宋" w:hAnsi="仿宋" w:eastAsia="仿宋" w:cs="仿宋"/>
          <w:sz w:val="32"/>
          <w:szCs w:val="32"/>
        </w:rPr>
        <w:t>分。</w:t>
      </w:r>
    </w:p>
    <w:p>
      <w:pPr>
        <w:wordWrap/>
        <w:adjustRightInd/>
        <w:spacing w:line="560" w:lineRule="exact"/>
        <w:ind w:firstLine="640" w:firstLineChars="200"/>
        <w:rPr>
          <w:rFonts w:ascii="黑体" w:hAnsi="黑体" w:eastAsia="黑体"/>
          <w:b/>
          <w:sz w:val="32"/>
          <w:szCs w:val="32"/>
        </w:rPr>
      </w:pPr>
      <w:r>
        <w:rPr>
          <w:rFonts w:hint="eastAsia" w:ascii="仿宋" w:hAnsi="仿宋" w:eastAsia="仿宋" w:cs="仿宋"/>
          <w:sz w:val="32"/>
          <w:szCs w:val="32"/>
        </w:rPr>
        <w:t>本次评价，向17个市（州）</w:t>
      </w:r>
      <w:r>
        <w:rPr>
          <w:rFonts w:hint="eastAsia" w:ascii="仿宋" w:hAnsi="仿宋" w:eastAsia="仿宋" w:cs="仿宋"/>
          <w:sz w:val="32"/>
          <w:szCs w:val="32"/>
          <w:lang w:eastAsia="zh-CN"/>
        </w:rPr>
        <w:t>2020年</w:t>
      </w:r>
      <w:r>
        <w:rPr>
          <w:rFonts w:hint="eastAsia" w:ascii="仿宋" w:hAnsi="仿宋" w:eastAsia="仿宋" w:cs="仿宋"/>
          <w:sz w:val="32"/>
          <w:szCs w:val="32"/>
        </w:rPr>
        <w:t>度接受人民调解的当事人随机发放满意度调查问卷</w:t>
      </w:r>
      <w:r>
        <w:rPr>
          <w:rFonts w:hint="eastAsia" w:ascii="仿宋" w:hAnsi="仿宋" w:eastAsia="仿宋" w:cs="仿宋"/>
          <w:sz w:val="32"/>
          <w:szCs w:val="32"/>
          <w:lang w:val="en-US" w:eastAsia="zh-CN"/>
        </w:rPr>
        <w:t>480</w:t>
      </w:r>
      <w:r>
        <w:rPr>
          <w:rFonts w:hint="eastAsia" w:ascii="仿宋" w:hAnsi="仿宋" w:eastAsia="仿宋" w:cs="仿宋"/>
          <w:sz w:val="32"/>
          <w:szCs w:val="32"/>
        </w:rPr>
        <w:t>份，收回有效问卷</w:t>
      </w:r>
      <w:r>
        <w:rPr>
          <w:rFonts w:hint="eastAsia" w:ascii="仿宋" w:hAnsi="仿宋" w:eastAsia="仿宋" w:cs="仿宋"/>
          <w:sz w:val="32"/>
          <w:szCs w:val="32"/>
          <w:lang w:val="en-US" w:eastAsia="zh-CN"/>
        </w:rPr>
        <w:t>480</w:t>
      </w:r>
      <w:r>
        <w:rPr>
          <w:rFonts w:hint="eastAsia" w:ascii="仿宋" w:hAnsi="仿宋" w:eastAsia="仿宋" w:cs="仿宋"/>
          <w:sz w:val="32"/>
          <w:szCs w:val="32"/>
        </w:rPr>
        <w:t>份。调查问卷涉及人民调解工作总体满意度、人民调解组织的调解能力、市（县）基层司法所提供的人民调解服务满意度、提交人民调解申请时有没有推诿现象等4个方面调查内容。经汇总计算调查结果，当事人对人民调解工作的满意度为9</w:t>
      </w:r>
      <w:r>
        <w:rPr>
          <w:rFonts w:hint="eastAsia" w:ascii="仿宋" w:hAnsi="仿宋" w:eastAsia="仿宋" w:cs="仿宋"/>
          <w:sz w:val="32"/>
          <w:szCs w:val="32"/>
          <w:lang w:val="en-US" w:eastAsia="zh-CN"/>
        </w:rPr>
        <w:t>6.6</w:t>
      </w:r>
      <w:r>
        <w:rPr>
          <w:rFonts w:hint="eastAsia" w:ascii="仿宋" w:hAnsi="仿宋" w:eastAsia="仿宋" w:cs="仿宋"/>
          <w:sz w:val="32"/>
          <w:szCs w:val="32"/>
        </w:rPr>
        <w:t>%。</w:t>
      </w:r>
    </w:p>
    <w:p>
      <w:pPr>
        <w:wordWrap/>
        <w:adjustRightInd/>
        <w:spacing w:line="560" w:lineRule="exact"/>
        <w:ind w:firstLine="643" w:firstLineChars="200"/>
        <w:outlineLvl w:val="0"/>
        <w:rPr>
          <w:rFonts w:hint="eastAsia" w:ascii="楷体" w:hAnsi="楷体" w:eastAsia="楷体" w:cs="楷体"/>
          <w:b/>
          <w:sz w:val="32"/>
          <w:szCs w:val="32"/>
          <w:lang w:eastAsia="zh-CN"/>
        </w:rPr>
      </w:pPr>
      <w:r>
        <w:rPr>
          <w:rFonts w:hint="eastAsia" w:ascii="楷体" w:hAnsi="楷体" w:eastAsia="楷体" w:cs="楷体"/>
          <w:b/>
          <w:sz w:val="32"/>
          <w:szCs w:val="32"/>
          <w:lang w:eastAsia="zh-CN"/>
        </w:rPr>
        <w:t>（四）上年度部门自评结果应用情况</w:t>
      </w:r>
    </w:p>
    <w:p>
      <w:pPr>
        <w:pStyle w:val="14"/>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sz w:val="32"/>
          <w:szCs w:val="32"/>
          <w:lang w:val="en-US" w:eastAsia="zh-CN"/>
        </w:rPr>
      </w:pPr>
      <w:bookmarkStart w:id="15" w:name="_Toc1690"/>
      <w:r>
        <w:rPr>
          <w:rFonts w:hint="eastAsia" w:ascii="仿宋" w:hAnsi="仿宋" w:eastAsia="仿宋" w:cs="仿宋"/>
          <w:b w:val="0"/>
          <w:bCs/>
          <w:sz w:val="32"/>
          <w:szCs w:val="32"/>
          <w:lang w:val="en-US" w:eastAsia="zh-CN"/>
        </w:rPr>
        <w:t>一是将2019年度人民调解转移支付资金绩效评价结果及时反馈给项目实施单位，并限时整改。绩效评价结果在司法厅门户网站进行公开，并及时向省财政厅报送。二是加强建章立制，制定并印发《省司法厅预算绩效管理实施细则》，落实预算绩效管理主体责任，建成全方位、全过程、全覆盖的预算绩效管理体系。三是根据预算绩效评审专家组意见，对人民调解转移支付项目绩效指标进行修改和完善，进一步完善预算指标体系。四是绩效评价结果与预算安排相结合，将2019年度人民调解转移支付资金绩效评价结果作为下年度转移支付资金分配的重要依据。</w:t>
      </w:r>
    </w:p>
    <w:p>
      <w:pPr>
        <w:pStyle w:val="14"/>
        <w:widowControl w:val="0"/>
        <w:numPr>
          <w:ilvl w:val="0"/>
          <w:numId w:val="2"/>
        </w:numPr>
        <w:wordWrap/>
        <w:adjustRightInd/>
        <w:snapToGrid/>
        <w:spacing w:line="560" w:lineRule="exact"/>
        <w:ind w:left="0" w:leftChars="0" w:right="0" w:firstLine="643" w:firstLineChars="200"/>
        <w:jc w:val="both"/>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其他佐证材料</w:t>
      </w:r>
    </w:p>
    <w:bookmarkEnd w:id="15"/>
    <w:p>
      <w:pPr>
        <w:widowControl w:val="0"/>
        <w:numPr>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bookmarkStart w:id="16" w:name="_Hlk10024281"/>
      <w:r>
        <w:rPr>
          <w:rFonts w:hint="eastAsia" w:ascii="仿宋" w:hAnsi="仿宋" w:eastAsia="仿宋" w:cs="仿宋"/>
          <w:b w:val="0"/>
          <w:bCs/>
          <w:color w:val="auto"/>
          <w:sz w:val="32"/>
          <w:szCs w:val="32"/>
          <w:lang w:val="en-US" w:eastAsia="zh-CN"/>
        </w:rPr>
        <w:t>人民调解转移支付</w:t>
      </w:r>
      <w:r>
        <w:rPr>
          <w:rFonts w:hint="eastAsia" w:ascii="仿宋" w:hAnsi="仿宋" w:eastAsia="仿宋" w:cs="仿宋"/>
          <w:color w:val="auto"/>
          <w:sz w:val="32"/>
          <w:szCs w:val="32"/>
        </w:rPr>
        <w:t>项目管理情况较好。一是资金管理制度健全。省财政厅、省司法厅联合颁布了《湖北省人民调解转移支付经费管理办法》，对项目具体开支范围和标准进行了严格的限定，规范了经费使用和管理要求。</w:t>
      </w:r>
      <w:r>
        <w:rPr>
          <w:rFonts w:hint="eastAsia" w:ascii="仿宋" w:hAnsi="仿宋" w:eastAsia="仿宋" w:cs="仿宋"/>
          <w:color w:val="auto"/>
          <w:sz w:val="32"/>
          <w:szCs w:val="32"/>
          <w:lang w:eastAsia="zh-CN"/>
        </w:rPr>
        <w:t>当年</w:t>
      </w:r>
      <w:r>
        <w:rPr>
          <w:rFonts w:hint="eastAsia" w:ascii="仿宋" w:hAnsi="仿宋" w:eastAsia="仿宋" w:cs="仿宋"/>
          <w:color w:val="auto"/>
          <w:sz w:val="32"/>
          <w:szCs w:val="32"/>
        </w:rPr>
        <w:t>未收到市县财政等各类检查、审计，对人民调解经费使用和管理等方面的意见通报。</w:t>
      </w:r>
      <w:r>
        <w:rPr>
          <w:rFonts w:hint="eastAsia" w:ascii="仿宋" w:hAnsi="仿宋" w:eastAsia="仿宋" w:cs="仿宋"/>
          <w:color w:val="auto"/>
          <w:sz w:val="32"/>
          <w:szCs w:val="32"/>
          <w:lang w:eastAsia="zh-CN"/>
        </w:rPr>
        <w:t>二是</w:t>
      </w:r>
      <w:r>
        <w:rPr>
          <w:rFonts w:hint="default" w:ascii="Times New Roman" w:hAnsi="Times New Roman" w:eastAsia="仿宋_GB2312" w:cs="Times New Roman"/>
          <w:b w:val="0"/>
          <w:bCs w:val="0"/>
          <w:color w:val="auto"/>
          <w:sz w:val="32"/>
          <w:szCs w:val="32"/>
          <w:lang w:val="en-US" w:eastAsia="zh-CN"/>
        </w:rPr>
        <w:t>各地积极贯彻落实《关于加强人民调解员队伍建设的实施意见》，积极通过政府购买等方式，努力为每个乡镇（街道）人民调解委员会聘请1-2名、为每个行业性专业性人民调解委员会聘请3名以上专职人民调解员。</w:t>
      </w:r>
      <w:r>
        <w:rPr>
          <w:rFonts w:hint="eastAsia" w:eastAsia="仿宋_GB2312" w:cs="Times New Roman"/>
          <w:b w:val="0"/>
          <w:bCs w:val="0"/>
          <w:color w:val="auto"/>
          <w:sz w:val="32"/>
          <w:szCs w:val="32"/>
          <w:lang w:val="en-US" w:eastAsia="zh-CN"/>
        </w:rPr>
        <w:t>2020年</w:t>
      </w:r>
      <w:r>
        <w:rPr>
          <w:rFonts w:hint="default" w:ascii="Times New Roman" w:hAnsi="Times New Roman" w:eastAsia="仿宋_GB2312" w:cs="Times New Roman"/>
          <w:b w:val="0"/>
          <w:bCs w:val="0"/>
          <w:color w:val="auto"/>
          <w:sz w:val="32"/>
          <w:szCs w:val="32"/>
          <w:lang w:val="en-US" w:eastAsia="zh-CN"/>
        </w:rPr>
        <w:t>，我省13个人民调解组织和36名人民调解员荣获司法部“全国模范人民调解委员会”和“全国模范人民调解员”表彰。</w:t>
      </w:r>
      <w:bookmarkEnd w:id="16"/>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p>
    <w:p>
      <w:pPr>
        <w:pStyle w:val="14"/>
        <w:widowControl w:val="0"/>
        <w:numPr>
          <w:numId w:val="0"/>
        </w:numPr>
        <w:wordWrap/>
        <w:adjustRightInd/>
        <w:snapToGrid/>
        <w:spacing w:line="560" w:lineRule="exact"/>
        <w:ind w:left="0" w:leftChars="0" w:right="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附件：</w:t>
      </w:r>
      <w:bookmarkStart w:id="17" w:name="_Hlk10023484"/>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2020年</w:t>
      </w:r>
      <w:r>
        <w:rPr>
          <w:rFonts w:hint="eastAsia" w:ascii="仿宋" w:hAnsi="仿宋" w:eastAsia="仿宋" w:cs="仿宋"/>
          <w:b w:val="0"/>
          <w:bCs/>
          <w:sz w:val="32"/>
          <w:szCs w:val="32"/>
        </w:rPr>
        <w:t>度</w:t>
      </w:r>
      <w:bookmarkEnd w:id="17"/>
      <w:r>
        <w:rPr>
          <w:rFonts w:hint="eastAsia" w:ascii="仿宋" w:hAnsi="仿宋" w:eastAsia="仿宋" w:cs="仿宋"/>
          <w:b w:val="0"/>
          <w:bCs/>
          <w:sz w:val="32"/>
          <w:szCs w:val="32"/>
        </w:rPr>
        <w:t>省对下</w:t>
      </w:r>
      <w:r>
        <w:rPr>
          <w:rFonts w:hint="eastAsia" w:ascii="仿宋" w:hAnsi="仿宋" w:eastAsia="仿宋" w:cs="仿宋"/>
          <w:b w:val="0"/>
          <w:bCs/>
          <w:sz w:val="32"/>
          <w:szCs w:val="32"/>
          <w:lang w:eastAsia="zh-CN"/>
        </w:rPr>
        <w:t>人民调解</w:t>
      </w:r>
      <w:r>
        <w:rPr>
          <w:rFonts w:hint="eastAsia" w:ascii="仿宋" w:hAnsi="仿宋" w:eastAsia="仿宋" w:cs="仿宋"/>
          <w:b w:val="0"/>
          <w:bCs/>
          <w:sz w:val="32"/>
          <w:szCs w:val="32"/>
        </w:rPr>
        <w:t>转移支付项目绩效目标</w:t>
      </w:r>
    </w:p>
    <w:p>
      <w:pPr>
        <w:pStyle w:val="14"/>
        <w:widowControl w:val="0"/>
        <w:numPr>
          <w:numId w:val="0"/>
        </w:numPr>
        <w:wordWrap/>
        <w:adjustRightInd/>
        <w:snapToGrid/>
        <w:spacing w:line="560" w:lineRule="exact"/>
        <w:ind w:left="0" w:leftChars="0" w:right="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自评表</w:t>
      </w:r>
    </w:p>
    <w:p>
      <w:pPr>
        <w:pStyle w:val="14"/>
        <w:widowControl w:val="0"/>
        <w:wordWrap/>
        <w:adjustRightInd/>
        <w:snapToGrid/>
        <w:spacing w:line="560" w:lineRule="exact"/>
        <w:ind w:left="0" w:leftChars="0" w:right="0" w:firstLine="0" w:firstLineChars="0"/>
        <w:jc w:val="both"/>
        <w:textAlignment w:val="auto"/>
        <w:outlineLvl w:val="9"/>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 xml:space="preserve">           2.</w:t>
      </w:r>
      <w:r>
        <w:rPr>
          <w:rFonts w:hint="eastAsia" w:ascii="仿宋" w:hAnsi="仿宋" w:eastAsia="仿宋" w:cs="仿宋"/>
          <w:b w:val="0"/>
          <w:bCs/>
          <w:sz w:val="32"/>
          <w:szCs w:val="32"/>
          <w:lang w:eastAsia="zh-CN"/>
        </w:rPr>
        <w:t>2020年度省对下人民调解转移支付项目资金使用</w:t>
      </w:r>
    </w:p>
    <w:p>
      <w:pPr>
        <w:pStyle w:val="14"/>
        <w:widowControl w:val="0"/>
        <w:wordWrap/>
        <w:adjustRightInd/>
        <w:snapToGrid/>
        <w:spacing w:line="560" w:lineRule="exact"/>
        <w:ind w:left="0" w:leftChars="0" w:right="0" w:firstLine="0" w:firstLineChars="0"/>
        <w:jc w:val="both"/>
        <w:textAlignment w:val="auto"/>
        <w:outlineLvl w:val="9"/>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及绩效目标完成情况汇总表</w:t>
      </w:r>
    </w:p>
    <w:p>
      <w:pPr>
        <w:pStyle w:val="14"/>
        <w:widowControl w:val="0"/>
        <w:wordWrap/>
        <w:adjustRightInd/>
        <w:snapToGrid/>
        <w:spacing w:line="560" w:lineRule="exact"/>
        <w:ind w:left="0" w:leftChars="0" w:right="0" w:firstLine="0" w:firstLineChars="0"/>
        <w:jc w:val="both"/>
        <w:textAlignment w:val="auto"/>
        <w:outlineLvl w:val="9"/>
        <w:rPr>
          <w:rFonts w:ascii="仿宋" w:hAnsi="仿宋" w:eastAsia="仿宋" w:cs="仿宋"/>
          <w:sz w:val="32"/>
          <w:szCs w:val="32"/>
        </w:rPr>
      </w:pP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黑体"/>
        <w:kern w:val="2"/>
        <w:sz w:val="18"/>
        <w:szCs w:val="18"/>
        <w:lang w:val="en-US" w:eastAsia="zh-CN" w:bidi="ar-SA"/>
      </w:rPr>
      <w:pict>
        <v:shape id="Quad Arrow 3075" o:spid="_x0000_s1025"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黑体"/>
        <w:kern w:val="2"/>
        <w:sz w:val="18"/>
        <w:szCs w:val="18"/>
        <w:lang w:val="en-US" w:eastAsia="zh-CN" w:bidi="ar-SA"/>
      </w:rPr>
      <w:pict>
        <v:rect id="文本框 1" o:spid="_x0000_s1026"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9516020">
    <w:nsid w:val="6087DA74"/>
    <w:multiLevelType w:val="singleLevel"/>
    <w:tmpl w:val="6087DA74"/>
    <w:lvl w:ilvl="0" w:tentative="1">
      <w:start w:val="5"/>
      <w:numFmt w:val="chineseCounting"/>
      <w:suff w:val="nothing"/>
      <w:lvlText w:val="（%1）"/>
      <w:lvlJc w:val="left"/>
    </w:lvl>
  </w:abstractNum>
  <w:abstractNum w:abstractNumId="431462460">
    <w:nsid w:val="19B7983C"/>
    <w:multiLevelType w:val="singleLevel"/>
    <w:tmpl w:val="19B7983C"/>
    <w:lvl w:ilvl="0" w:tentative="1">
      <w:start w:val="2"/>
      <w:numFmt w:val="chineseCounting"/>
      <w:suff w:val="nothing"/>
      <w:lvlText w:val="（%1）"/>
      <w:lvlJc w:val="left"/>
      <w:rPr>
        <w:rFonts w:hint="eastAsia"/>
      </w:rPr>
    </w:lvl>
  </w:abstractNum>
  <w:num w:numId="1">
    <w:abstractNumId w:val="431462460"/>
  </w:num>
  <w:num w:numId="2">
    <w:abstractNumId w:val="16195160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A34F8"/>
    <w:rsid w:val="0001599C"/>
    <w:rsid w:val="00017256"/>
    <w:rsid w:val="00034CC6"/>
    <w:rsid w:val="00055C10"/>
    <w:rsid w:val="00056E24"/>
    <w:rsid w:val="00075742"/>
    <w:rsid w:val="00076AB4"/>
    <w:rsid w:val="000805B3"/>
    <w:rsid w:val="0008553E"/>
    <w:rsid w:val="00093F27"/>
    <w:rsid w:val="0009474B"/>
    <w:rsid w:val="000A37C2"/>
    <w:rsid w:val="000A3F37"/>
    <w:rsid w:val="000B3DAB"/>
    <w:rsid w:val="000C1344"/>
    <w:rsid w:val="000C375E"/>
    <w:rsid w:val="000E62A9"/>
    <w:rsid w:val="000F1AAA"/>
    <w:rsid w:val="001028B5"/>
    <w:rsid w:val="0012210B"/>
    <w:rsid w:val="00126D05"/>
    <w:rsid w:val="00133D11"/>
    <w:rsid w:val="001363AD"/>
    <w:rsid w:val="00140EC1"/>
    <w:rsid w:val="00195428"/>
    <w:rsid w:val="001B0C45"/>
    <w:rsid w:val="001C29C4"/>
    <w:rsid w:val="001C5BB6"/>
    <w:rsid w:val="001D25CD"/>
    <w:rsid w:val="001D4B6B"/>
    <w:rsid w:val="001D5772"/>
    <w:rsid w:val="001F080F"/>
    <w:rsid w:val="001F087C"/>
    <w:rsid w:val="001F66FF"/>
    <w:rsid w:val="00215E9A"/>
    <w:rsid w:val="002173D9"/>
    <w:rsid w:val="00223FE6"/>
    <w:rsid w:val="00227A7B"/>
    <w:rsid w:val="0023075F"/>
    <w:rsid w:val="0023534D"/>
    <w:rsid w:val="00242355"/>
    <w:rsid w:val="00250580"/>
    <w:rsid w:val="00277927"/>
    <w:rsid w:val="00283F17"/>
    <w:rsid w:val="00284A88"/>
    <w:rsid w:val="002A7CEC"/>
    <w:rsid w:val="002B0E91"/>
    <w:rsid w:val="002B27B2"/>
    <w:rsid w:val="002E1BF5"/>
    <w:rsid w:val="002E5C9D"/>
    <w:rsid w:val="002F5ABB"/>
    <w:rsid w:val="003014CC"/>
    <w:rsid w:val="00310286"/>
    <w:rsid w:val="00312DD8"/>
    <w:rsid w:val="003142D1"/>
    <w:rsid w:val="0031553A"/>
    <w:rsid w:val="00320673"/>
    <w:rsid w:val="00340545"/>
    <w:rsid w:val="00340837"/>
    <w:rsid w:val="00347AF2"/>
    <w:rsid w:val="00372016"/>
    <w:rsid w:val="003867DA"/>
    <w:rsid w:val="00395C33"/>
    <w:rsid w:val="003A39AF"/>
    <w:rsid w:val="003B11CF"/>
    <w:rsid w:val="003B13A4"/>
    <w:rsid w:val="003C281F"/>
    <w:rsid w:val="003E1477"/>
    <w:rsid w:val="003E2327"/>
    <w:rsid w:val="003E4506"/>
    <w:rsid w:val="003E6369"/>
    <w:rsid w:val="003F15F6"/>
    <w:rsid w:val="003F3A0D"/>
    <w:rsid w:val="00412AD7"/>
    <w:rsid w:val="00417393"/>
    <w:rsid w:val="004224A9"/>
    <w:rsid w:val="00423CE3"/>
    <w:rsid w:val="004630D2"/>
    <w:rsid w:val="00472BA0"/>
    <w:rsid w:val="00480194"/>
    <w:rsid w:val="00482437"/>
    <w:rsid w:val="00487EC3"/>
    <w:rsid w:val="004A2C8A"/>
    <w:rsid w:val="004A34F8"/>
    <w:rsid w:val="004C2623"/>
    <w:rsid w:val="004C4E99"/>
    <w:rsid w:val="004C5FB2"/>
    <w:rsid w:val="004C7582"/>
    <w:rsid w:val="004D1E85"/>
    <w:rsid w:val="004D6CD9"/>
    <w:rsid w:val="004D6D94"/>
    <w:rsid w:val="004F36A1"/>
    <w:rsid w:val="00503FDD"/>
    <w:rsid w:val="00523AFC"/>
    <w:rsid w:val="005338C2"/>
    <w:rsid w:val="00543A97"/>
    <w:rsid w:val="00543C95"/>
    <w:rsid w:val="00543CD4"/>
    <w:rsid w:val="005471DA"/>
    <w:rsid w:val="00563F9C"/>
    <w:rsid w:val="0056652A"/>
    <w:rsid w:val="005A023A"/>
    <w:rsid w:val="005A1A59"/>
    <w:rsid w:val="005C3D6A"/>
    <w:rsid w:val="005C421E"/>
    <w:rsid w:val="005D30FF"/>
    <w:rsid w:val="005D386A"/>
    <w:rsid w:val="005E375F"/>
    <w:rsid w:val="005E6DD8"/>
    <w:rsid w:val="0061152D"/>
    <w:rsid w:val="00620956"/>
    <w:rsid w:val="006259D2"/>
    <w:rsid w:val="00627B8E"/>
    <w:rsid w:val="00647E0C"/>
    <w:rsid w:val="00651943"/>
    <w:rsid w:val="00685C43"/>
    <w:rsid w:val="00686B8C"/>
    <w:rsid w:val="006C7383"/>
    <w:rsid w:val="006F3824"/>
    <w:rsid w:val="00715453"/>
    <w:rsid w:val="00723D7E"/>
    <w:rsid w:val="0073080C"/>
    <w:rsid w:val="00732BD7"/>
    <w:rsid w:val="007350C0"/>
    <w:rsid w:val="007439E7"/>
    <w:rsid w:val="007542A0"/>
    <w:rsid w:val="00755A01"/>
    <w:rsid w:val="00757F02"/>
    <w:rsid w:val="007667BB"/>
    <w:rsid w:val="00774FE9"/>
    <w:rsid w:val="00782B67"/>
    <w:rsid w:val="007A2090"/>
    <w:rsid w:val="007B075D"/>
    <w:rsid w:val="007C783D"/>
    <w:rsid w:val="007E7099"/>
    <w:rsid w:val="007F46C3"/>
    <w:rsid w:val="008073B9"/>
    <w:rsid w:val="00830E82"/>
    <w:rsid w:val="008628CA"/>
    <w:rsid w:val="008813C2"/>
    <w:rsid w:val="00886571"/>
    <w:rsid w:val="00890066"/>
    <w:rsid w:val="00894387"/>
    <w:rsid w:val="008C7CC5"/>
    <w:rsid w:val="008D3C64"/>
    <w:rsid w:val="008D43EF"/>
    <w:rsid w:val="008D6EC3"/>
    <w:rsid w:val="008E73A6"/>
    <w:rsid w:val="008F0DCE"/>
    <w:rsid w:val="008F20AD"/>
    <w:rsid w:val="008F6227"/>
    <w:rsid w:val="00901A8E"/>
    <w:rsid w:val="00901D1C"/>
    <w:rsid w:val="00911A58"/>
    <w:rsid w:val="00924896"/>
    <w:rsid w:val="00930B95"/>
    <w:rsid w:val="00953325"/>
    <w:rsid w:val="009578E6"/>
    <w:rsid w:val="00975BFD"/>
    <w:rsid w:val="009836A4"/>
    <w:rsid w:val="00984786"/>
    <w:rsid w:val="0098529A"/>
    <w:rsid w:val="00992A20"/>
    <w:rsid w:val="009A57E4"/>
    <w:rsid w:val="009D32AB"/>
    <w:rsid w:val="009E569D"/>
    <w:rsid w:val="009E7258"/>
    <w:rsid w:val="009E7D8A"/>
    <w:rsid w:val="009F3ADE"/>
    <w:rsid w:val="009F67BE"/>
    <w:rsid w:val="00A00A2F"/>
    <w:rsid w:val="00A02CFC"/>
    <w:rsid w:val="00A0382D"/>
    <w:rsid w:val="00A05DD4"/>
    <w:rsid w:val="00A065A4"/>
    <w:rsid w:val="00A16356"/>
    <w:rsid w:val="00A2117B"/>
    <w:rsid w:val="00A24573"/>
    <w:rsid w:val="00A5562D"/>
    <w:rsid w:val="00A83873"/>
    <w:rsid w:val="00A9643B"/>
    <w:rsid w:val="00AA6CA5"/>
    <w:rsid w:val="00AA6CB6"/>
    <w:rsid w:val="00AA7906"/>
    <w:rsid w:val="00AB1EA5"/>
    <w:rsid w:val="00AC5E66"/>
    <w:rsid w:val="00AF18A0"/>
    <w:rsid w:val="00B050C6"/>
    <w:rsid w:val="00B17EDC"/>
    <w:rsid w:val="00B30FE1"/>
    <w:rsid w:val="00B35E4C"/>
    <w:rsid w:val="00B44639"/>
    <w:rsid w:val="00B71C95"/>
    <w:rsid w:val="00B74F50"/>
    <w:rsid w:val="00B916C6"/>
    <w:rsid w:val="00B97258"/>
    <w:rsid w:val="00BC5BF0"/>
    <w:rsid w:val="00BE1FDB"/>
    <w:rsid w:val="00BE275C"/>
    <w:rsid w:val="00BE5131"/>
    <w:rsid w:val="00BF3AB2"/>
    <w:rsid w:val="00C14DA1"/>
    <w:rsid w:val="00C1552B"/>
    <w:rsid w:val="00C17AB9"/>
    <w:rsid w:val="00C22D6B"/>
    <w:rsid w:val="00C23974"/>
    <w:rsid w:val="00C24EEA"/>
    <w:rsid w:val="00C36615"/>
    <w:rsid w:val="00C436D7"/>
    <w:rsid w:val="00C47119"/>
    <w:rsid w:val="00C54A92"/>
    <w:rsid w:val="00C83D94"/>
    <w:rsid w:val="00C85C1F"/>
    <w:rsid w:val="00CA1268"/>
    <w:rsid w:val="00CB6242"/>
    <w:rsid w:val="00CB7BEC"/>
    <w:rsid w:val="00CE2904"/>
    <w:rsid w:val="00CE2AF3"/>
    <w:rsid w:val="00CE79D2"/>
    <w:rsid w:val="00CF4CF7"/>
    <w:rsid w:val="00CF5359"/>
    <w:rsid w:val="00D06894"/>
    <w:rsid w:val="00D12E12"/>
    <w:rsid w:val="00D15A08"/>
    <w:rsid w:val="00D20460"/>
    <w:rsid w:val="00D2492C"/>
    <w:rsid w:val="00D31237"/>
    <w:rsid w:val="00D452F4"/>
    <w:rsid w:val="00D56F87"/>
    <w:rsid w:val="00D56F8A"/>
    <w:rsid w:val="00D654A8"/>
    <w:rsid w:val="00D6723F"/>
    <w:rsid w:val="00D678A5"/>
    <w:rsid w:val="00D70A4C"/>
    <w:rsid w:val="00D7175C"/>
    <w:rsid w:val="00D8341B"/>
    <w:rsid w:val="00D90CEE"/>
    <w:rsid w:val="00D920B2"/>
    <w:rsid w:val="00DC6A9B"/>
    <w:rsid w:val="00DD2022"/>
    <w:rsid w:val="00DF16D2"/>
    <w:rsid w:val="00E01549"/>
    <w:rsid w:val="00E137C2"/>
    <w:rsid w:val="00E16003"/>
    <w:rsid w:val="00E1765A"/>
    <w:rsid w:val="00E2207A"/>
    <w:rsid w:val="00E276D0"/>
    <w:rsid w:val="00E3783A"/>
    <w:rsid w:val="00E41509"/>
    <w:rsid w:val="00E44A68"/>
    <w:rsid w:val="00E47F6F"/>
    <w:rsid w:val="00E626D2"/>
    <w:rsid w:val="00E63356"/>
    <w:rsid w:val="00E658BE"/>
    <w:rsid w:val="00E81E13"/>
    <w:rsid w:val="00EA0D05"/>
    <w:rsid w:val="00EA2FA0"/>
    <w:rsid w:val="00EB1F91"/>
    <w:rsid w:val="00EB7744"/>
    <w:rsid w:val="00EC03CD"/>
    <w:rsid w:val="00EC64C5"/>
    <w:rsid w:val="00EE40A8"/>
    <w:rsid w:val="00F00589"/>
    <w:rsid w:val="00F0701B"/>
    <w:rsid w:val="00F153F0"/>
    <w:rsid w:val="00F23FDD"/>
    <w:rsid w:val="00F3389A"/>
    <w:rsid w:val="00F42892"/>
    <w:rsid w:val="00F463A7"/>
    <w:rsid w:val="00F47932"/>
    <w:rsid w:val="00F67EEC"/>
    <w:rsid w:val="00F84E08"/>
    <w:rsid w:val="00F859F4"/>
    <w:rsid w:val="00F90127"/>
    <w:rsid w:val="00F91AA6"/>
    <w:rsid w:val="00F9315B"/>
    <w:rsid w:val="00FB0671"/>
    <w:rsid w:val="00FC554A"/>
    <w:rsid w:val="00FD589F"/>
    <w:rsid w:val="00FE0CAD"/>
    <w:rsid w:val="00FE48CF"/>
    <w:rsid w:val="00FE6519"/>
    <w:rsid w:val="00FF6832"/>
    <w:rsid w:val="0292676F"/>
    <w:rsid w:val="02F702FB"/>
    <w:rsid w:val="033B4DA6"/>
    <w:rsid w:val="034E3BE5"/>
    <w:rsid w:val="03AE0C12"/>
    <w:rsid w:val="062F2CF3"/>
    <w:rsid w:val="063762BB"/>
    <w:rsid w:val="064F44A8"/>
    <w:rsid w:val="088637C4"/>
    <w:rsid w:val="0952408C"/>
    <w:rsid w:val="09681434"/>
    <w:rsid w:val="0A3859E1"/>
    <w:rsid w:val="0A880360"/>
    <w:rsid w:val="0AD70D59"/>
    <w:rsid w:val="0CD2264B"/>
    <w:rsid w:val="0EAE51AB"/>
    <w:rsid w:val="0F0E2242"/>
    <w:rsid w:val="0F8D5A76"/>
    <w:rsid w:val="116749D2"/>
    <w:rsid w:val="14BD0A09"/>
    <w:rsid w:val="16FB586F"/>
    <w:rsid w:val="17843F68"/>
    <w:rsid w:val="18230527"/>
    <w:rsid w:val="19011320"/>
    <w:rsid w:val="198462BD"/>
    <w:rsid w:val="1A032062"/>
    <w:rsid w:val="1C812BDA"/>
    <w:rsid w:val="1E9F795C"/>
    <w:rsid w:val="21B86A3A"/>
    <w:rsid w:val="21EE53D6"/>
    <w:rsid w:val="22476A82"/>
    <w:rsid w:val="232A61A9"/>
    <w:rsid w:val="232C64B4"/>
    <w:rsid w:val="25305D7B"/>
    <w:rsid w:val="25FA7E23"/>
    <w:rsid w:val="267B0B0B"/>
    <w:rsid w:val="26917F87"/>
    <w:rsid w:val="28254160"/>
    <w:rsid w:val="28866761"/>
    <w:rsid w:val="28AA1298"/>
    <w:rsid w:val="2A1B6E5D"/>
    <w:rsid w:val="2A1C46A8"/>
    <w:rsid w:val="2C1A3EB8"/>
    <w:rsid w:val="2C3F457A"/>
    <w:rsid w:val="2C6C258F"/>
    <w:rsid w:val="2DCD48D3"/>
    <w:rsid w:val="2E434821"/>
    <w:rsid w:val="2F80596A"/>
    <w:rsid w:val="303B35ED"/>
    <w:rsid w:val="314963DE"/>
    <w:rsid w:val="31552503"/>
    <w:rsid w:val="326F1BE7"/>
    <w:rsid w:val="330D75DE"/>
    <w:rsid w:val="33DB03B4"/>
    <w:rsid w:val="3432023D"/>
    <w:rsid w:val="34821307"/>
    <w:rsid w:val="34A62A4F"/>
    <w:rsid w:val="374B420C"/>
    <w:rsid w:val="374D0A61"/>
    <w:rsid w:val="38174BC0"/>
    <w:rsid w:val="381D0F98"/>
    <w:rsid w:val="3A240D99"/>
    <w:rsid w:val="3B370DEE"/>
    <w:rsid w:val="3C4C6B41"/>
    <w:rsid w:val="3C981AF7"/>
    <w:rsid w:val="3D615736"/>
    <w:rsid w:val="3DC865BF"/>
    <w:rsid w:val="3DED2B1C"/>
    <w:rsid w:val="3E0A3B98"/>
    <w:rsid w:val="3FE55CD5"/>
    <w:rsid w:val="406B1711"/>
    <w:rsid w:val="407D3353"/>
    <w:rsid w:val="41326614"/>
    <w:rsid w:val="41B90FA0"/>
    <w:rsid w:val="421F6FE7"/>
    <w:rsid w:val="43530BD4"/>
    <w:rsid w:val="44CD0D48"/>
    <w:rsid w:val="460E0BB2"/>
    <w:rsid w:val="46BC272F"/>
    <w:rsid w:val="471D0B13"/>
    <w:rsid w:val="484E6BEB"/>
    <w:rsid w:val="488D13F2"/>
    <w:rsid w:val="48A44E8C"/>
    <w:rsid w:val="48FE7251"/>
    <w:rsid w:val="496B3D34"/>
    <w:rsid w:val="49D37C76"/>
    <w:rsid w:val="4B2D3CBE"/>
    <w:rsid w:val="4C036CA1"/>
    <w:rsid w:val="4C6618BD"/>
    <w:rsid w:val="4D7C5EC3"/>
    <w:rsid w:val="4E064079"/>
    <w:rsid w:val="50843967"/>
    <w:rsid w:val="50B275FE"/>
    <w:rsid w:val="52360F15"/>
    <w:rsid w:val="553B52A5"/>
    <w:rsid w:val="57763BC9"/>
    <w:rsid w:val="5A45548F"/>
    <w:rsid w:val="5A5E5C83"/>
    <w:rsid w:val="5ADE28C5"/>
    <w:rsid w:val="5B0D7A2C"/>
    <w:rsid w:val="5CAD0DC9"/>
    <w:rsid w:val="5CCE4423"/>
    <w:rsid w:val="5CF5323D"/>
    <w:rsid w:val="5D6818AE"/>
    <w:rsid w:val="5DA143B6"/>
    <w:rsid w:val="5E186F78"/>
    <w:rsid w:val="5E5367D9"/>
    <w:rsid w:val="5E9F1FF4"/>
    <w:rsid w:val="5EA95AC1"/>
    <w:rsid w:val="5F650822"/>
    <w:rsid w:val="5F89427E"/>
    <w:rsid w:val="5FAA7229"/>
    <w:rsid w:val="5FE97EAE"/>
    <w:rsid w:val="60D84BC7"/>
    <w:rsid w:val="62E32DFB"/>
    <w:rsid w:val="64BF3872"/>
    <w:rsid w:val="668275E0"/>
    <w:rsid w:val="670D4194"/>
    <w:rsid w:val="67F724A3"/>
    <w:rsid w:val="68A16766"/>
    <w:rsid w:val="68B51791"/>
    <w:rsid w:val="68DA7B9A"/>
    <w:rsid w:val="69EF26ED"/>
    <w:rsid w:val="6A1920A7"/>
    <w:rsid w:val="6AAB75A0"/>
    <w:rsid w:val="6B5E6BA4"/>
    <w:rsid w:val="6B8A7DC6"/>
    <w:rsid w:val="6C162869"/>
    <w:rsid w:val="6D430BF6"/>
    <w:rsid w:val="6D5440B9"/>
    <w:rsid w:val="6D6538EB"/>
    <w:rsid w:val="6D8F4F39"/>
    <w:rsid w:val="6E28085F"/>
    <w:rsid w:val="6F7B0481"/>
    <w:rsid w:val="6FAC19A4"/>
    <w:rsid w:val="72D23FD3"/>
    <w:rsid w:val="73992D80"/>
    <w:rsid w:val="74692E65"/>
    <w:rsid w:val="74C9394B"/>
    <w:rsid w:val="75821317"/>
    <w:rsid w:val="76B1073E"/>
    <w:rsid w:val="779A0D22"/>
    <w:rsid w:val="79E6235B"/>
    <w:rsid w:val="7A3D0605"/>
    <w:rsid w:val="7B637B56"/>
    <w:rsid w:val="7CF03591"/>
    <w:rsid w:val="7DAD0F62"/>
    <w:rsid w:val="7DE167ED"/>
    <w:rsid w:val="7DFB37CC"/>
    <w:rsid w:val="7E016F84"/>
    <w:rsid w:val="7E3A3719"/>
    <w:rsid w:val="7EC040B9"/>
    <w:rsid w:val="7FD8687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annotation subject"/>
    <w:basedOn w:val="3"/>
    <w:next w:val="3"/>
    <w:link w:val="20"/>
    <w:unhideWhenUsed/>
    <w:qFormat/>
    <w:uiPriority w:val="99"/>
    <w:rPr>
      <w:b/>
      <w:bCs/>
    </w:rPr>
  </w:style>
  <w:style w:type="paragraph" w:styleId="3">
    <w:name w:val="annotation text"/>
    <w:basedOn w:val="1"/>
    <w:link w:val="18"/>
    <w:unhideWhenUsed/>
    <w:qFormat/>
    <w:uiPriority w:val="99"/>
    <w:pPr>
      <w:jc w:val="left"/>
    </w:pPr>
  </w:style>
  <w:style w:type="paragraph" w:styleId="4">
    <w:name w:val="Date"/>
    <w:basedOn w:val="1"/>
    <w:next w:val="1"/>
    <w:link w:val="17"/>
    <w:unhideWhenUsed/>
    <w:qFormat/>
    <w:uiPriority w:val="99"/>
    <w:pPr>
      <w:ind w:left="100" w:leftChars="2500"/>
    </w:pPr>
  </w:style>
  <w:style w:type="paragraph" w:styleId="5">
    <w:name w:val="endnote text"/>
    <w:basedOn w:val="1"/>
    <w:link w:val="21"/>
    <w:unhideWhenUsed/>
    <w:qFormat/>
    <w:uiPriority w:val="99"/>
    <w:pPr>
      <w:snapToGrid w:val="0"/>
      <w:jc w:val="left"/>
    </w:pPr>
  </w:style>
  <w:style w:type="paragraph" w:styleId="6">
    <w:name w:val="Balloon Text"/>
    <w:basedOn w:val="1"/>
    <w:link w:val="19"/>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10">
    <w:name w:val="endnote reference"/>
    <w:basedOn w:val="9"/>
    <w:unhideWhenUsed/>
    <w:qFormat/>
    <w:uiPriority w:val="99"/>
    <w:rPr>
      <w:vertAlign w:val="superscript"/>
    </w:rPr>
  </w:style>
  <w:style w:type="character" w:styleId="11">
    <w:name w:val="Hyperlink"/>
    <w:basedOn w:val="9"/>
    <w:unhideWhenUsed/>
    <w:qFormat/>
    <w:uiPriority w:val="99"/>
    <w:rPr>
      <w:color w:val="0000FF"/>
      <w:u w:val="single"/>
    </w:rPr>
  </w:style>
  <w:style w:type="character" w:styleId="12">
    <w:name w:val="annotation reference"/>
    <w:unhideWhenUsed/>
    <w:qFormat/>
    <w:uiPriority w:val="99"/>
    <w:rPr>
      <w:sz w:val="21"/>
      <w:szCs w:val="21"/>
    </w:rPr>
  </w:style>
  <w:style w:type="paragraph" w:customStyle="1" w:styleId="14">
    <w:name w:val="Body Text First Indent 21"/>
    <w:basedOn w:val="1"/>
    <w:qFormat/>
    <w:uiPriority w:val="0"/>
    <w:pPr>
      <w:ind w:firstLine="880" w:firstLineChars="200"/>
    </w:pPr>
  </w:style>
  <w:style w:type="character" w:customStyle="1" w:styleId="15">
    <w:name w:val="页眉 字符"/>
    <w:basedOn w:val="9"/>
    <w:link w:val="8"/>
    <w:qFormat/>
    <w:uiPriority w:val="99"/>
    <w:rPr>
      <w:sz w:val="18"/>
      <w:szCs w:val="18"/>
    </w:rPr>
  </w:style>
  <w:style w:type="character" w:customStyle="1" w:styleId="16">
    <w:name w:val="页脚 字符"/>
    <w:basedOn w:val="9"/>
    <w:link w:val="7"/>
    <w:qFormat/>
    <w:uiPriority w:val="99"/>
    <w:rPr>
      <w:sz w:val="18"/>
      <w:szCs w:val="18"/>
    </w:rPr>
  </w:style>
  <w:style w:type="character" w:customStyle="1" w:styleId="17">
    <w:name w:val="日期 字符"/>
    <w:basedOn w:val="9"/>
    <w:link w:val="4"/>
    <w:semiHidden/>
    <w:qFormat/>
    <w:uiPriority w:val="99"/>
    <w:rPr>
      <w:rFonts w:ascii="Times New Roman" w:hAnsi="Times New Roman" w:eastAsia="宋体" w:cs="Times New Roman"/>
      <w:szCs w:val="24"/>
    </w:rPr>
  </w:style>
  <w:style w:type="character" w:customStyle="1" w:styleId="18">
    <w:name w:val="批注文字 字符"/>
    <w:basedOn w:val="9"/>
    <w:link w:val="3"/>
    <w:semiHidden/>
    <w:qFormat/>
    <w:uiPriority w:val="99"/>
    <w:rPr>
      <w:rFonts w:ascii="Times New Roman" w:hAnsi="Times New Roman" w:eastAsia="宋体" w:cs="Times New Roman"/>
      <w:szCs w:val="24"/>
    </w:rPr>
  </w:style>
  <w:style w:type="character" w:customStyle="1" w:styleId="19">
    <w:name w:val="批注框文本 字符"/>
    <w:basedOn w:val="9"/>
    <w:link w:val="6"/>
    <w:semiHidden/>
    <w:qFormat/>
    <w:uiPriority w:val="99"/>
    <w:rPr>
      <w:rFonts w:ascii="Times New Roman" w:hAnsi="Times New Roman" w:eastAsia="宋体" w:cs="Times New Roman"/>
      <w:sz w:val="18"/>
      <w:szCs w:val="18"/>
    </w:rPr>
  </w:style>
  <w:style w:type="character" w:customStyle="1" w:styleId="20">
    <w:name w:val="批注主题 字符"/>
    <w:basedOn w:val="18"/>
    <w:link w:val="2"/>
    <w:semiHidden/>
    <w:qFormat/>
    <w:uiPriority w:val="99"/>
    <w:rPr>
      <w:rFonts w:ascii="Times New Roman" w:hAnsi="Times New Roman" w:eastAsia="宋体" w:cs="Times New Roman"/>
      <w:b/>
      <w:bCs/>
      <w:szCs w:val="24"/>
    </w:rPr>
  </w:style>
  <w:style w:type="character" w:customStyle="1" w:styleId="21">
    <w:name w:val="尾注文本 字符"/>
    <w:basedOn w:val="9"/>
    <w:link w:val="5"/>
    <w:semiHidden/>
    <w:qFormat/>
    <w:uiPriority w:val="99"/>
    <w:rPr>
      <w:rFonts w:ascii="Times New Roman" w:hAnsi="Times New Roman" w:eastAsia="宋体" w:cs="Times New Roman"/>
      <w:szCs w:val="24"/>
    </w:rPr>
  </w:style>
  <w:style w:type="character" w:customStyle="1" w:styleId="22">
    <w:name w:val="font01"/>
    <w:basedOn w:val="9"/>
    <w:qFormat/>
    <w:uiPriority w:val="0"/>
    <w:rPr>
      <w:rFonts w:hint="eastAsia" w:ascii="仿宋_GB2312" w:eastAsia="仿宋_GB2312" w:cs="仿宋_GB2312"/>
      <w:b/>
      <w:color w:val="000000"/>
      <w:sz w:val="20"/>
      <w:szCs w:val="20"/>
      <w:u w:val="none"/>
    </w:rPr>
  </w:style>
  <w:style w:type="character" w:customStyle="1" w:styleId="23">
    <w:name w:val="font51"/>
    <w:basedOn w:val="9"/>
    <w:qFormat/>
    <w:uiPriority w:val="0"/>
    <w:rPr>
      <w:rFonts w:hint="eastAsia" w:ascii="仿宋_GB2312" w:eastAsia="仿宋_GB2312" w:cs="仿宋_GB2312"/>
      <w:color w:val="000000"/>
      <w:sz w:val="20"/>
      <w:szCs w:val="20"/>
      <w:u w:val="none"/>
    </w:rPr>
  </w:style>
  <w:style w:type="character" w:customStyle="1" w:styleId="24">
    <w:name w:val="font41"/>
    <w:basedOn w:val="9"/>
    <w:qFormat/>
    <w:uiPriority w:val="0"/>
    <w:rPr>
      <w:rFonts w:hint="eastAsia" w:ascii="宋体" w:hAnsi="宋体" w:eastAsia="宋体" w:cs="宋体"/>
      <w:b/>
      <w:bCs/>
      <w:color w:val="000000"/>
      <w:sz w:val="20"/>
      <w:szCs w:val="20"/>
      <w:u w:val="none"/>
    </w:rPr>
  </w:style>
  <w:style w:type="character" w:customStyle="1" w:styleId="25">
    <w:name w:val="font61"/>
    <w:basedOn w:val="9"/>
    <w:qFormat/>
    <w:uiPriority w:val="0"/>
    <w:rPr>
      <w:rFonts w:hint="eastAsia" w:ascii="宋体" w:hAnsi="宋体" w:eastAsia="宋体" w:cs="宋体"/>
      <w:color w:val="000000"/>
      <w:sz w:val="20"/>
      <w:szCs w:val="20"/>
      <w:u w:val="none"/>
    </w:rPr>
  </w:style>
  <w:style w:type="character" w:customStyle="1" w:styleId="26">
    <w:name w:val="font111"/>
    <w:basedOn w:val="9"/>
    <w:qFormat/>
    <w:uiPriority w:val="0"/>
    <w:rPr>
      <w:rFonts w:ascii="Wingdings" w:hAnsi="Wingdings" w:cs="Wingdings"/>
      <w:color w:val="000000"/>
      <w:sz w:val="20"/>
      <w:szCs w:val="20"/>
      <w:u w:val="none"/>
    </w:rPr>
  </w:style>
  <w:style w:type="character" w:customStyle="1" w:styleId="27">
    <w:name w:val="font121"/>
    <w:basedOn w:val="9"/>
    <w:qFormat/>
    <w:uiPriority w:val="0"/>
    <w:rPr>
      <w:rFonts w:ascii="Wingdings 2" w:hAnsi="Wingdings 2" w:eastAsia="Wingdings 2" w:cs="Wingdings 2"/>
      <w:color w:val="000000"/>
      <w:sz w:val="20"/>
      <w:szCs w:val="20"/>
      <w:u w:val="none"/>
    </w:rPr>
  </w:style>
  <w:style w:type="character" w:customStyle="1" w:styleId="28">
    <w:name w:val="font91"/>
    <w:basedOn w:val="9"/>
    <w:qFormat/>
    <w:uiPriority w:val="0"/>
    <w:rPr>
      <w:rFonts w:hint="eastAsia" w:ascii="宋体" w:hAnsi="宋体" w:eastAsia="宋体" w:cs="宋体"/>
      <w:color w:val="000000"/>
      <w:sz w:val="32"/>
      <w:szCs w:val="32"/>
      <w:u w:val="none"/>
    </w:rPr>
  </w:style>
  <w:style w:type="character" w:customStyle="1" w:styleId="29">
    <w:name w:val="font112"/>
    <w:basedOn w:val="9"/>
    <w:qFormat/>
    <w:uiPriority w:val="0"/>
    <w:rPr>
      <w:rFonts w:hint="eastAsia" w:ascii="等线" w:hAnsi="等线" w:eastAsia="等线" w:cs="等线"/>
      <w:color w:val="000000"/>
      <w:sz w:val="20"/>
      <w:szCs w:val="20"/>
      <w:u w:val="none"/>
    </w:rPr>
  </w:style>
  <w:style w:type="character" w:customStyle="1" w:styleId="30">
    <w:name w:val="font21"/>
    <w:basedOn w:val="9"/>
    <w:qFormat/>
    <w:uiPriority w:val="0"/>
    <w:rPr>
      <w:rFonts w:hint="eastAsia" w:ascii="宋体" w:hAnsi="宋体" w:eastAsia="宋体" w:cs="宋体"/>
      <w:color w:val="000000"/>
      <w:sz w:val="20"/>
      <w:szCs w:val="20"/>
      <w:u w:val="none"/>
    </w:rPr>
  </w:style>
  <w:style w:type="character" w:customStyle="1" w:styleId="31">
    <w:name w:val="font31"/>
    <w:basedOn w:val="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738</Words>
  <Characters>4212</Characters>
  <Lines>35</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2019-04-26T02:32:00Z</dcterms:created>
  <dc:creator>lenovo</dc:creator>
  <cp:lastModifiedBy>李然</cp:lastModifiedBy>
  <dcterms:modified xsi:type="dcterms:W3CDTF">2021-04-30T02:16:13Z</dcterms:modified>
  <dc:title>湖北省预算绩效自评报告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739627FE5F7740C48E6D7BCF256218F8</vt:lpwstr>
  </property>
</Properties>
</file>