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before="156" w:beforeLines="50" w:after="156" w:afterLines="50" w:line="360" w:lineRule="auto"/>
        <w:jc w:val="center"/>
        <w:rPr>
          <w:rFonts w:eastAsia="仿宋_GB2312"/>
          <w:b/>
          <w:sz w:val="48"/>
          <w:szCs w:val="48"/>
        </w:rPr>
      </w:pPr>
    </w:p>
    <w:p>
      <w:pPr>
        <w:topLinePunct/>
        <w:spacing w:before="156" w:beforeLines="50" w:after="156" w:afterLines="50" w:line="360" w:lineRule="auto"/>
        <w:jc w:val="center"/>
        <w:rPr>
          <w:rFonts w:eastAsia="仿宋_GB2312"/>
          <w:b/>
          <w:sz w:val="48"/>
          <w:szCs w:val="48"/>
        </w:rPr>
      </w:pPr>
    </w:p>
    <w:p>
      <w:pPr>
        <w:topLinePunct/>
        <w:spacing w:before="156" w:beforeLines="50" w:after="156" w:afterLines="50" w:line="360" w:lineRule="auto"/>
        <w:jc w:val="center"/>
        <w:rPr>
          <w:rFonts w:eastAsia="方正小标宋简体"/>
          <w:b/>
          <w:sz w:val="48"/>
          <w:szCs w:val="48"/>
        </w:rPr>
      </w:pPr>
      <w:r>
        <w:rPr>
          <w:rFonts w:eastAsia="方正小标宋简体"/>
          <w:b/>
          <w:sz w:val="48"/>
          <w:szCs w:val="48"/>
        </w:rPr>
        <w:t>湖北省省级财政项目支出绩效自评报告</w:t>
      </w:r>
    </w:p>
    <w:p>
      <w:pPr>
        <w:topLinePunct/>
        <w:spacing w:line="360" w:lineRule="auto"/>
        <w:jc w:val="center"/>
        <w:rPr>
          <w:rFonts w:eastAsia="方正小标宋简体"/>
          <w:b/>
          <w:sz w:val="44"/>
          <w:szCs w:val="44"/>
        </w:rPr>
      </w:pPr>
      <w:r>
        <w:rPr>
          <w:rFonts w:eastAsia="方正小标宋简体"/>
          <w:b/>
          <w:sz w:val="44"/>
          <w:szCs w:val="44"/>
        </w:rPr>
        <w:t>（201</w:t>
      </w:r>
      <w:r>
        <w:rPr>
          <w:rFonts w:hint="eastAsia" w:eastAsia="方正小标宋简体"/>
          <w:b/>
          <w:sz w:val="44"/>
          <w:szCs w:val="44"/>
        </w:rPr>
        <w:t>9</w:t>
      </w:r>
      <w:r>
        <w:rPr>
          <w:rFonts w:eastAsia="方正小标宋简体"/>
          <w:b/>
          <w:sz w:val="44"/>
          <w:szCs w:val="44"/>
        </w:rPr>
        <w:t>年度）</w:t>
      </w:r>
    </w:p>
    <w:p>
      <w:pPr>
        <w:topLinePunct/>
        <w:spacing w:line="360" w:lineRule="auto"/>
        <w:jc w:val="center"/>
        <w:rPr>
          <w:b/>
          <w:sz w:val="44"/>
          <w:szCs w:val="44"/>
        </w:rPr>
      </w:pPr>
    </w:p>
    <w:p>
      <w:pPr>
        <w:topLinePunct/>
        <w:spacing w:line="360" w:lineRule="auto"/>
        <w:jc w:val="center"/>
        <w:rPr>
          <w:b/>
          <w:sz w:val="44"/>
          <w:szCs w:val="44"/>
        </w:rPr>
      </w:pPr>
    </w:p>
    <w:p>
      <w:pPr>
        <w:topLinePunct/>
        <w:spacing w:line="360" w:lineRule="auto"/>
        <w:jc w:val="center"/>
        <w:rPr>
          <w:b/>
          <w:sz w:val="44"/>
          <w:szCs w:val="44"/>
        </w:rPr>
      </w:pPr>
    </w:p>
    <w:p>
      <w:pPr>
        <w:topLinePunct/>
        <w:spacing w:line="360" w:lineRule="auto"/>
        <w:jc w:val="center"/>
        <w:rPr>
          <w:b/>
          <w:sz w:val="44"/>
          <w:szCs w:val="44"/>
        </w:rPr>
      </w:pPr>
    </w:p>
    <w:p>
      <w:pPr>
        <w:topLinePunct/>
        <w:spacing w:line="360" w:lineRule="auto"/>
        <w:jc w:val="center"/>
        <w:rPr>
          <w:b/>
          <w:sz w:val="44"/>
          <w:szCs w:val="44"/>
        </w:rPr>
      </w:pP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项目名称：</w:t>
      </w:r>
      <w:r>
        <w:rPr>
          <w:rFonts w:hint="eastAsia" w:eastAsia="仿宋_GB2312"/>
          <w:b/>
          <w:bCs/>
          <w:kern w:val="0"/>
          <w:sz w:val="32"/>
          <w:szCs w:val="32"/>
        </w:rPr>
        <w:t>普法宣传</w:t>
      </w: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项目单位：</w:t>
      </w:r>
      <w:r>
        <w:rPr>
          <w:rFonts w:hint="eastAsia" w:eastAsia="仿宋_GB2312"/>
          <w:b/>
          <w:bCs/>
          <w:kern w:val="0"/>
          <w:sz w:val="32"/>
          <w:szCs w:val="32"/>
        </w:rPr>
        <w:t>湖北省司法厅</w:t>
      </w: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主管</w:t>
      </w:r>
      <w:r>
        <w:rPr>
          <w:rFonts w:hint="eastAsia" w:eastAsia="仿宋_GB2312"/>
          <w:b/>
          <w:bCs/>
          <w:kern w:val="0"/>
          <w:sz w:val="32"/>
          <w:szCs w:val="32"/>
        </w:rPr>
        <w:t>部门</w:t>
      </w:r>
      <w:r>
        <w:rPr>
          <w:rFonts w:eastAsia="仿宋_GB2312"/>
          <w:b/>
          <w:bCs/>
          <w:kern w:val="0"/>
          <w:sz w:val="32"/>
          <w:szCs w:val="32"/>
        </w:rPr>
        <w:t>：</w:t>
      </w:r>
      <w:r>
        <w:rPr>
          <w:rFonts w:hint="eastAsia" w:eastAsia="仿宋_GB2312"/>
          <w:b/>
          <w:bCs/>
          <w:kern w:val="0"/>
          <w:sz w:val="32"/>
          <w:szCs w:val="32"/>
        </w:rPr>
        <w:t>湖北省司法厅</w:t>
      </w:r>
    </w:p>
    <w:p>
      <w:pPr>
        <w:topLinePunct/>
        <w:spacing w:before="312" w:beforeLines="100" w:after="312" w:afterLines="100" w:line="360" w:lineRule="auto"/>
        <w:ind w:firstLine="643" w:firstLineChars="200"/>
        <w:rPr>
          <w:rFonts w:eastAsia="仿宋_GB2312"/>
          <w:b/>
          <w:bCs/>
          <w:kern w:val="0"/>
          <w:sz w:val="32"/>
          <w:szCs w:val="32"/>
        </w:rPr>
      </w:pPr>
      <w:r>
        <w:rPr>
          <w:rFonts w:eastAsia="仿宋_GB2312"/>
          <w:b/>
          <w:bCs/>
          <w:kern w:val="0"/>
          <w:sz w:val="32"/>
          <w:szCs w:val="32"/>
        </w:rPr>
        <w:t>评价机构：</w:t>
      </w:r>
      <w:r>
        <w:rPr>
          <w:rFonts w:hint="eastAsia" w:eastAsia="仿宋_GB2312"/>
          <w:b/>
          <w:sz w:val="32"/>
          <w:szCs w:val="32"/>
        </w:rPr>
        <w:t>湖北省司法厅</w:t>
      </w:r>
      <w:r>
        <w:rPr>
          <w:rFonts w:eastAsia="仿宋_GB2312"/>
          <w:b/>
          <w:sz w:val="32"/>
          <w:szCs w:val="32"/>
        </w:rPr>
        <w:t>绩效自评</w:t>
      </w:r>
      <w:r>
        <w:rPr>
          <w:rFonts w:hint="eastAsia" w:eastAsia="仿宋_GB2312"/>
          <w:b/>
          <w:sz w:val="32"/>
          <w:szCs w:val="32"/>
        </w:rPr>
        <w:t>工作</w:t>
      </w:r>
      <w:r>
        <w:rPr>
          <w:rFonts w:eastAsia="仿宋_GB2312"/>
          <w:b/>
          <w:sz w:val="32"/>
          <w:szCs w:val="32"/>
        </w:rPr>
        <w:t>小组</w:t>
      </w:r>
    </w:p>
    <w:p>
      <w:pPr>
        <w:topLinePunct/>
        <w:snapToGrid w:val="0"/>
        <w:spacing w:line="360" w:lineRule="auto"/>
        <w:jc w:val="center"/>
        <w:rPr>
          <w:rFonts w:eastAsia="仿宋_GB2312"/>
          <w:b/>
          <w:bCs/>
          <w:kern w:val="0"/>
          <w:sz w:val="32"/>
          <w:szCs w:val="32"/>
        </w:rPr>
      </w:pPr>
    </w:p>
    <w:p>
      <w:pPr>
        <w:topLinePunct/>
        <w:snapToGrid w:val="0"/>
        <w:spacing w:line="360" w:lineRule="auto"/>
        <w:jc w:val="center"/>
        <w:rPr>
          <w:rFonts w:eastAsia="仿宋_GB2312"/>
          <w:b/>
          <w:bCs/>
          <w:kern w:val="0"/>
          <w:sz w:val="32"/>
          <w:szCs w:val="32"/>
        </w:rPr>
      </w:pPr>
    </w:p>
    <w:p>
      <w:pPr>
        <w:spacing w:before="156" w:beforeLines="50" w:after="156" w:afterLines="50" w:line="560" w:lineRule="exact"/>
        <w:jc w:val="center"/>
        <w:rPr>
          <w:rFonts w:eastAsia="仿宋_GB2312"/>
          <w:b/>
          <w:sz w:val="32"/>
          <w:szCs w:val="32"/>
        </w:rPr>
      </w:pPr>
      <w:r>
        <w:rPr>
          <w:rFonts w:eastAsia="仿宋_GB2312"/>
          <w:b/>
          <w:sz w:val="32"/>
          <w:szCs w:val="32"/>
        </w:rPr>
        <w:t>20</w:t>
      </w:r>
      <w:r>
        <w:rPr>
          <w:rFonts w:hint="eastAsia" w:eastAsia="仿宋_GB2312"/>
          <w:b/>
          <w:sz w:val="32"/>
          <w:szCs w:val="32"/>
        </w:rPr>
        <w:t>20</w:t>
      </w:r>
      <w:r>
        <w:rPr>
          <w:rFonts w:eastAsia="仿宋_GB2312"/>
          <w:b/>
          <w:sz w:val="32"/>
          <w:szCs w:val="32"/>
        </w:rPr>
        <w:t>年</w:t>
      </w:r>
      <w:r>
        <w:rPr>
          <w:rFonts w:hint="eastAsia" w:eastAsia="仿宋_GB2312"/>
          <w:b/>
          <w:sz w:val="32"/>
          <w:szCs w:val="32"/>
        </w:rPr>
        <w:t>6</w:t>
      </w:r>
      <w:r>
        <w:rPr>
          <w:rFonts w:eastAsia="仿宋_GB2312"/>
          <w:b/>
          <w:sz w:val="32"/>
          <w:szCs w:val="32"/>
        </w:rPr>
        <w:t>月</w:t>
      </w:r>
    </w:p>
    <w:p>
      <w:pPr>
        <w:spacing w:before="156" w:beforeLines="50" w:after="156" w:afterLines="50" w:line="560" w:lineRule="exact"/>
        <w:jc w:val="center"/>
        <w:rPr>
          <w:rFonts w:eastAsia="仿宋_GB2312"/>
          <w:b/>
          <w:sz w:val="32"/>
        </w:rPr>
      </w:pPr>
    </w:p>
    <w:p>
      <w:pPr>
        <w:pStyle w:val="2"/>
        <w:ind w:firstLine="420"/>
      </w:pPr>
    </w:p>
    <w:p>
      <w:pPr>
        <w:spacing w:before="156" w:beforeLines="50" w:after="156" w:afterLines="50" w:line="360" w:lineRule="auto"/>
        <w:jc w:val="center"/>
        <w:rPr>
          <w:rFonts w:ascii="黑体" w:hAnsi="黑体" w:eastAsia="黑体" w:cs="黑体"/>
          <w:b/>
          <w:sz w:val="36"/>
          <w:szCs w:val="36"/>
        </w:rPr>
        <w:sectPr>
          <w:pgSz w:w="11906" w:h="16838"/>
          <w:pgMar w:top="1440" w:right="1800" w:bottom="1440" w:left="1800" w:header="851" w:footer="992" w:gutter="0"/>
          <w:pgNumType w:fmt="numberInDash" w:start="1"/>
          <w:cols w:space="425" w:num="1"/>
          <w:docGrid w:type="lines" w:linePitch="312" w:charSpace="0"/>
        </w:sectPr>
      </w:pPr>
    </w:p>
    <w:p>
      <w:pPr>
        <w:spacing w:before="156" w:beforeLines="50" w:after="156" w:afterLines="50" w:line="560" w:lineRule="exact"/>
        <w:jc w:val="center"/>
        <w:rPr>
          <w:rFonts w:ascii="黑体" w:hAnsi="黑体" w:eastAsia="黑体" w:cs="黑体"/>
          <w:b/>
          <w:sz w:val="36"/>
          <w:szCs w:val="36"/>
        </w:rPr>
      </w:pPr>
      <w:r>
        <w:rPr>
          <w:rFonts w:hint="eastAsia" w:ascii="黑体" w:hAnsi="黑体" w:eastAsia="黑体" w:cs="黑体"/>
          <w:b/>
          <w:sz w:val="44"/>
          <w:szCs w:val="44"/>
        </w:rPr>
        <w:t>2019年度普法宣传项目绩效自评报告</w:t>
      </w:r>
    </w:p>
    <w:p>
      <w:pPr>
        <w:spacing w:line="560" w:lineRule="exact"/>
        <w:ind w:firstLine="602" w:firstLineChars="200"/>
        <w:rPr>
          <w:rFonts w:ascii="黑体" w:hAnsi="黑体" w:eastAsia="黑体"/>
          <w:b/>
          <w:sz w:val="30"/>
          <w:szCs w:val="30"/>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一、基本情况</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（一）项目立项情况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制宣传教育，既是社会主义法制建设的一项根本性措施，又是社会主义精神文明建设的重要任务。依据《湖北省法制宣传教育条例》《法治湖北建设纲要》《中央宣传部、司法部关于在公民中开展法治宣传教育的第七个五年规划（2016－2020年）》等法规文件的规定，按照《湖北省依法治省工作领导小组工作职责》和省政府办公厅关于《湖北省司法厅主要职责内设机构和人员编制规定》明确的职能，省司法厅设立普法宣传项目（以下简称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的主要内容和职责：“12.4”国家宪法日系列法治宣传活动；“七五”普法中期督导检查；全省“四个100”法治建设示范点；法治动漫微电影评选和参赛；法治文化建设示范点评选:《法治湖北》杂志印刷；湖北法制网改版升级和维护；电视普法栏目“活·法”制作播出；“法宣在线”无纸化学法用法平台网络运行维护；湖北省“三下乡”活动普法宣传；法治宣传周、宣传月法律知识有奖竞答活动和媒体宣传。</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（二）年度绩效目标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年度目标一：统筹推进普法宣传“一制四化”。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年度目标二：加强全省法治文化建设。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年度目标三：扎实推进基层依法治理。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（三）项目资金情况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本项目为持续性、常年性项目，经费来源为省财政拨款和政府性基金预算拨款。2019年度项目预算为242.00万元。实际执行242.00万元，预算执行率为100%。</w:t>
      </w:r>
    </w:p>
    <w:p>
      <w:pPr>
        <w:spacing w:line="560" w:lineRule="exact"/>
        <w:ind w:firstLine="643" w:firstLineChars="200"/>
        <w:rPr>
          <w:rFonts w:ascii="仿宋" w:hAnsi="仿宋" w:eastAsia="仿宋" w:cs="仿宋"/>
          <w:b/>
          <w:sz w:val="32"/>
          <w:szCs w:val="32"/>
        </w:rPr>
      </w:pPr>
      <w:r>
        <w:rPr>
          <w:rFonts w:hint="eastAsia" w:ascii="黑体" w:hAnsi="黑体" w:eastAsia="黑体" w:cs="黑体"/>
          <w:b/>
          <w:sz w:val="32"/>
          <w:szCs w:val="32"/>
        </w:rPr>
        <w:t>二、绩效自评工作开展情况</w:t>
      </w:r>
    </w:p>
    <w:p>
      <w:pPr>
        <w:spacing w:line="560" w:lineRule="exact"/>
        <w:ind w:firstLine="640" w:firstLineChars="200"/>
        <w:rPr>
          <w:rFonts w:ascii="仿宋" w:hAnsi="仿宋" w:eastAsia="仿宋" w:cs="仿宋"/>
          <w:sz w:val="32"/>
          <w:szCs w:val="32"/>
        </w:rPr>
      </w:pPr>
      <w:bookmarkStart w:id="0" w:name="_Hlk10020208"/>
      <w:r>
        <w:rPr>
          <w:rFonts w:hint="eastAsia" w:ascii="仿宋" w:hAnsi="仿宋" w:eastAsia="仿宋" w:cs="仿宋"/>
          <w:sz w:val="32"/>
          <w:szCs w:val="32"/>
        </w:rPr>
        <w:t>根据《省财政厅关于编制2019年度省直部门决算的通知》（财库［2019］291号）关于做好2019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1、4月底以前，学习有关绩效自评等文件精神，加强与项目执行部门和人员的沟通协调，制定工作计划，按照职责分工分解工作任务。召开自评工作布置会，明确绩效自评工作的重点和要求。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2、5月上旬以前，项目执行部门根据经人大批复的项目绩效目标，填写绩效自评表，收集、整理相关材料，并上报自评小组。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3、5月中旬，自评小组进行现场评价，与财务和相关业务人员座谈，了解项目资金使用管理情况、目标完成情况以及实施效果，核对项目明细账及原始凭证，查阅项目业务管理资料，复核相关基础数据。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4、6月中旬以前，自评小组汇总整理评价资料，结合现场检查的情况进行综合分析评价，提出意见或建议，撰写项目绩效自评报告，经预算绩效管理工作领导小组审核后上报。</w:t>
      </w:r>
    </w:p>
    <w:bookmarkEnd w:id="0"/>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三、绩效目标完成情况分析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司法厅通过积极推进“七五”普法和法治示范点建设等工作，充分运用报刊杂志、广播电视媒体和网络平台开展普法宣传工作，开展法律知识有奖竞答等活动，使我省群众的法制观念和法律素质明显增强，法治文化氛围日益浓厚，普法效果显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总体来看，省司法厅完成了2019年度项目绩效目标，项目绩效自评得分</w:t>
      </w:r>
      <w:r>
        <w:rPr>
          <w:rFonts w:ascii="仿宋" w:hAnsi="仿宋" w:eastAsia="仿宋" w:cs="仿宋"/>
          <w:sz w:val="32"/>
          <w:szCs w:val="32"/>
        </w:rPr>
        <w:t>9</w:t>
      </w:r>
      <w:r>
        <w:rPr>
          <w:rFonts w:hint="eastAsia" w:ascii="仿宋" w:hAnsi="仿宋" w:eastAsia="仿宋" w:cs="仿宋"/>
          <w:sz w:val="32"/>
          <w:szCs w:val="32"/>
        </w:rPr>
        <w:t>8.32分，自评等级为“优”。具体分析如下：</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（一）资金投入情况分析</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1、项目资金到位情况分析</w:t>
      </w:r>
    </w:p>
    <w:p>
      <w:pPr>
        <w:spacing w:line="560" w:lineRule="exact"/>
        <w:ind w:firstLine="640" w:firstLineChars="200"/>
        <w:rPr>
          <w:rFonts w:ascii="仿宋" w:hAnsi="仿宋" w:eastAsia="仿宋" w:cs="仿宋"/>
          <w:sz w:val="32"/>
          <w:szCs w:val="32"/>
        </w:rPr>
      </w:pPr>
      <w:bookmarkStart w:id="1" w:name="_Hlk10017764"/>
      <w:r>
        <w:rPr>
          <w:rFonts w:hint="eastAsia" w:ascii="仿宋" w:hAnsi="仿宋" w:eastAsia="仿宋" w:cs="仿宋"/>
          <w:sz w:val="32"/>
          <w:szCs w:val="32"/>
        </w:rPr>
        <w:t>2019年，项目预算242.00万元，当年实际到位资金总额为242.00万元，资金到位率100%。</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2、项目预算执行情况分析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指标目标值为100%，设定分值20分。2019年度，项目预算实际执行242.00万元，预算执行率为</w:t>
      </w:r>
      <w:r>
        <w:rPr>
          <w:rFonts w:hint="eastAsia" w:ascii="仿宋" w:hAnsi="仿宋" w:eastAsia="仿宋" w:cs="仿宋"/>
          <w:kern w:val="0"/>
          <w:sz w:val="32"/>
          <w:szCs w:val="32"/>
        </w:rPr>
        <w:t>100</w:t>
      </w:r>
      <w:r>
        <w:rPr>
          <w:rFonts w:hint="eastAsia" w:ascii="仿宋" w:hAnsi="仿宋" w:eastAsia="仿宋" w:cs="仿宋"/>
          <w:sz w:val="32"/>
          <w:szCs w:val="32"/>
        </w:rPr>
        <w:t>%，得分20分，指标执行偏差率为0。预算执行总体较好，具体情况如下表所示：</w:t>
      </w:r>
    </w:p>
    <w:bookmarkEnd w:id="1"/>
    <w:tbl>
      <w:tblPr>
        <w:tblStyle w:val="9"/>
        <w:tblpPr w:leftFromText="180" w:rightFromText="180" w:vertAnchor="text" w:horzAnchor="page" w:tblpX="2228" w:tblpY="350"/>
        <w:tblOverlap w:val="never"/>
        <w:tblW w:w="7849" w:type="dxa"/>
        <w:tblInd w:w="0" w:type="dxa"/>
        <w:tblLayout w:type="fixed"/>
        <w:tblCellMar>
          <w:top w:w="0" w:type="dxa"/>
          <w:left w:w="0" w:type="dxa"/>
          <w:bottom w:w="0" w:type="dxa"/>
          <w:right w:w="0" w:type="dxa"/>
        </w:tblCellMar>
      </w:tblPr>
      <w:tblGrid>
        <w:gridCol w:w="2088"/>
        <w:gridCol w:w="1596"/>
        <w:gridCol w:w="1284"/>
        <w:gridCol w:w="1440"/>
        <w:gridCol w:w="1441"/>
      </w:tblGrid>
      <w:tr>
        <w:tblPrEx>
          <w:tblCellMar>
            <w:top w:w="0" w:type="dxa"/>
            <w:left w:w="0" w:type="dxa"/>
            <w:bottom w:w="0" w:type="dxa"/>
            <w:right w:w="0" w:type="dxa"/>
          </w:tblCellMar>
        </w:tblPrEx>
        <w:trPr>
          <w:trHeight w:val="312" w:hRule="atLeast"/>
        </w:trPr>
        <w:tc>
          <w:tcPr>
            <w:tcW w:w="7849" w:type="dxa"/>
            <w:gridSpan w:val="5"/>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8"/>
                <w:szCs w:val="28"/>
                <w:lang w:bidi="ar"/>
              </w:rPr>
              <w:t>项目支出明细表</w:t>
            </w:r>
          </w:p>
        </w:tc>
      </w:tr>
      <w:tr>
        <w:tblPrEx>
          <w:tblCellMar>
            <w:top w:w="0" w:type="dxa"/>
            <w:left w:w="0" w:type="dxa"/>
            <w:bottom w:w="0" w:type="dxa"/>
            <w:right w:w="0" w:type="dxa"/>
          </w:tblCellMar>
        </w:tblPrEx>
        <w:trPr>
          <w:trHeight w:val="288" w:hRule="atLeast"/>
        </w:trPr>
        <w:tc>
          <w:tcPr>
            <w:tcW w:w="2088"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单位：</w:t>
            </w:r>
            <w:r>
              <w:rPr>
                <w:rStyle w:val="21"/>
                <w:rFonts w:hint="default" w:ascii="仿宋" w:hAnsi="仿宋" w:eastAsia="仿宋" w:cs="仿宋"/>
                <w:b/>
                <w:bCs/>
                <w:lang w:bidi="ar"/>
              </w:rPr>
              <w:t>万元</w:t>
            </w:r>
          </w:p>
        </w:tc>
        <w:tc>
          <w:tcPr>
            <w:tcW w:w="1596" w:type="dxa"/>
            <w:tcBorders>
              <w:top w:val="nil"/>
              <w:left w:val="nil"/>
              <w:bottom w:val="nil"/>
              <w:right w:val="nil"/>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1284" w:type="dxa"/>
            <w:tcBorders>
              <w:top w:val="nil"/>
              <w:left w:val="nil"/>
              <w:bottom w:val="nil"/>
              <w:right w:val="nil"/>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1440" w:type="dxa"/>
            <w:tcBorders>
              <w:top w:val="nil"/>
              <w:left w:val="nil"/>
              <w:bottom w:val="nil"/>
              <w:right w:val="nil"/>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1441" w:type="dxa"/>
            <w:tcBorders>
              <w:top w:val="nil"/>
              <w:left w:val="nil"/>
              <w:bottom w:val="nil"/>
              <w:right w:val="nil"/>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628" w:hRule="atLeast"/>
        </w:trPr>
        <w:tc>
          <w:tcPr>
            <w:tcW w:w="208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  目</w:t>
            </w:r>
          </w:p>
        </w:tc>
        <w:tc>
          <w:tcPr>
            <w:tcW w:w="1596"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调整后预算数</w:t>
            </w:r>
          </w:p>
        </w:tc>
        <w:tc>
          <w:tcPr>
            <w:tcW w:w="12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实际执行数</w:t>
            </w:r>
          </w:p>
        </w:tc>
        <w:tc>
          <w:tcPr>
            <w:tcW w:w="1440"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差异数</w:t>
            </w:r>
          </w:p>
        </w:tc>
        <w:tc>
          <w:tcPr>
            <w:tcW w:w="1441"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预算执行率</w:t>
            </w:r>
          </w:p>
        </w:tc>
      </w:tr>
      <w:tr>
        <w:tblPrEx>
          <w:tblCellMar>
            <w:top w:w="0" w:type="dxa"/>
            <w:left w:w="0" w:type="dxa"/>
            <w:bottom w:w="0" w:type="dxa"/>
            <w:right w:w="0" w:type="dxa"/>
          </w:tblCellMar>
        </w:tblPrEx>
        <w:trPr>
          <w:trHeight w:val="303"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办公费</w:t>
            </w:r>
          </w:p>
        </w:tc>
        <w:tc>
          <w:tcPr>
            <w:tcW w:w="159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62.30</w:t>
            </w:r>
          </w:p>
        </w:tc>
        <w:tc>
          <w:tcPr>
            <w:tcW w:w="12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62.30</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100.00%</w:t>
            </w:r>
          </w:p>
        </w:tc>
      </w:tr>
      <w:tr>
        <w:tblPrEx>
          <w:tblCellMar>
            <w:top w:w="0" w:type="dxa"/>
            <w:left w:w="0" w:type="dxa"/>
            <w:bottom w:w="0" w:type="dxa"/>
            <w:right w:w="0" w:type="dxa"/>
          </w:tblCellMar>
        </w:tblPrEx>
        <w:trPr>
          <w:trHeight w:val="303"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培训费</w:t>
            </w:r>
          </w:p>
        </w:tc>
        <w:tc>
          <w:tcPr>
            <w:tcW w:w="159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18.80</w:t>
            </w:r>
          </w:p>
        </w:tc>
        <w:tc>
          <w:tcPr>
            <w:tcW w:w="12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18.80</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100.00%</w:t>
            </w:r>
          </w:p>
        </w:tc>
      </w:tr>
      <w:tr>
        <w:tblPrEx>
          <w:tblCellMar>
            <w:top w:w="0" w:type="dxa"/>
            <w:left w:w="0" w:type="dxa"/>
            <w:bottom w:w="0" w:type="dxa"/>
            <w:right w:w="0" w:type="dxa"/>
          </w:tblCellMar>
        </w:tblPrEx>
        <w:trPr>
          <w:trHeight w:val="303"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会议费</w:t>
            </w:r>
          </w:p>
        </w:tc>
        <w:tc>
          <w:tcPr>
            <w:tcW w:w="159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c>
          <w:tcPr>
            <w:tcW w:w="12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100.00%</w:t>
            </w:r>
          </w:p>
        </w:tc>
      </w:tr>
      <w:tr>
        <w:tblPrEx>
          <w:tblCellMar>
            <w:top w:w="0" w:type="dxa"/>
            <w:left w:w="0" w:type="dxa"/>
            <w:bottom w:w="0" w:type="dxa"/>
            <w:right w:w="0" w:type="dxa"/>
          </w:tblCellMar>
        </w:tblPrEx>
        <w:trPr>
          <w:trHeight w:val="288"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委托业务费</w:t>
            </w:r>
          </w:p>
        </w:tc>
        <w:tc>
          <w:tcPr>
            <w:tcW w:w="159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120.90</w:t>
            </w:r>
          </w:p>
        </w:tc>
        <w:tc>
          <w:tcPr>
            <w:tcW w:w="12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120.90</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100.00%</w:t>
            </w:r>
          </w:p>
        </w:tc>
      </w:tr>
      <w:tr>
        <w:tblPrEx>
          <w:tblCellMar>
            <w:top w:w="0" w:type="dxa"/>
            <w:left w:w="0" w:type="dxa"/>
            <w:bottom w:w="0" w:type="dxa"/>
            <w:right w:w="0" w:type="dxa"/>
          </w:tblCellMar>
        </w:tblPrEx>
        <w:trPr>
          <w:trHeight w:val="288"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2"/>
                <w:szCs w:val="22"/>
                <w:lang w:bidi="ar"/>
              </w:rPr>
              <w:t>其他商品和服务支出</w:t>
            </w:r>
          </w:p>
        </w:tc>
        <w:tc>
          <w:tcPr>
            <w:tcW w:w="159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38.00</w:t>
            </w:r>
          </w:p>
        </w:tc>
        <w:tc>
          <w:tcPr>
            <w:tcW w:w="12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38.00</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100.00%</w:t>
            </w:r>
          </w:p>
        </w:tc>
      </w:tr>
      <w:tr>
        <w:tblPrEx>
          <w:tblCellMar>
            <w:top w:w="0" w:type="dxa"/>
            <w:left w:w="0" w:type="dxa"/>
            <w:bottom w:w="0" w:type="dxa"/>
            <w:right w:w="0" w:type="dxa"/>
          </w:tblCellMar>
        </w:tblPrEx>
        <w:trPr>
          <w:trHeight w:val="288" w:hRule="atLeast"/>
        </w:trPr>
        <w:tc>
          <w:tcPr>
            <w:tcW w:w="208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合  计</w:t>
            </w:r>
          </w:p>
        </w:tc>
        <w:tc>
          <w:tcPr>
            <w:tcW w:w="1596"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242.00</w:t>
            </w:r>
          </w:p>
        </w:tc>
        <w:tc>
          <w:tcPr>
            <w:tcW w:w="12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242.00</w:t>
            </w:r>
          </w:p>
        </w:tc>
        <w:tc>
          <w:tcPr>
            <w:tcW w:w="144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0.00</w:t>
            </w:r>
          </w:p>
        </w:tc>
        <w:tc>
          <w:tcPr>
            <w:tcW w:w="144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100.00%</w:t>
            </w:r>
          </w:p>
        </w:tc>
      </w:tr>
    </w:tbl>
    <w:p>
      <w:pPr>
        <w:spacing w:before="156" w:beforeLines="50"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3、项目资金管理情况分析</w:t>
      </w:r>
    </w:p>
    <w:p>
      <w:pPr>
        <w:spacing w:line="560" w:lineRule="exact"/>
        <w:ind w:firstLine="640" w:firstLineChars="200"/>
        <w:rPr>
          <w:sz w:val="32"/>
          <w:szCs w:val="32"/>
        </w:rPr>
      </w:pPr>
      <w:r>
        <w:rPr>
          <w:rFonts w:hint="eastAsia" w:ascii="仿宋" w:hAnsi="仿宋" w:eastAsia="仿宋" w:cs="仿宋"/>
          <w:sz w:val="32"/>
          <w:szCs w:val="32"/>
        </w:rPr>
        <w:t>省司法厅十分重视财务管理工作，严格遵守国家财经法律法规，认真执行省直行政事业单位财务收支管理相关规定，资金管理情况较好。一是财务管理制度健全有效。</w:t>
      </w:r>
      <w:r>
        <w:rPr>
          <w:rFonts w:hint="eastAsia" w:ascii="仿宋" w:hAnsi="仿宋" w:eastAsia="仿宋" w:cstheme="majorEastAsia"/>
          <w:sz w:val="32"/>
          <w:szCs w:val="32"/>
        </w:rPr>
        <w:t>近几年，省司法厅</w:t>
      </w:r>
      <w:r>
        <w:rPr>
          <w:rFonts w:hint="eastAsia" w:ascii="仿宋" w:hAnsi="仿宋" w:eastAsia="仿宋" w:cs="仿宋"/>
          <w:sz w:val="32"/>
          <w:szCs w:val="32"/>
        </w:rPr>
        <w:t>结合自身实际修订印发了《湖北省司法厅财务管理办法》《湖北省司法厅会议费管理实施办法》《湖北省司法厅培训费管理实施办法》等财务管理制度，内部管理制度体系建设持续加强。二是资金使用合规。资金使用范围、对象明确，资金支付程序合规、手续完备，重大开支经过厅党组和厅办公会事前集体决策。三是资金支出真实、有效，无截留、挤占、挪用和虚列支出等情况。四是资金报账凭据及财务记录真实、完整、合规。</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（二）绩效目标完成情况分析</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1、产出数量指标完成情况分析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产出指标评价设定分值80分，综合评价得分</w:t>
      </w:r>
      <w:r>
        <w:rPr>
          <w:rFonts w:ascii="仿宋" w:hAnsi="仿宋" w:eastAsia="仿宋" w:cs="仿宋"/>
          <w:sz w:val="32"/>
          <w:szCs w:val="32"/>
        </w:rPr>
        <w:t>78</w:t>
      </w:r>
      <w:r>
        <w:rPr>
          <w:rFonts w:hint="eastAsia" w:ascii="仿宋" w:hAnsi="仿宋" w:eastAsia="仿宋" w:cs="仿宋"/>
          <w:sz w:val="32"/>
          <w:szCs w:val="32"/>
        </w:rPr>
        <w:t>.32分。</w:t>
      </w:r>
      <w:r>
        <w:rPr>
          <w:rFonts w:ascii="仿宋" w:hAnsi="仿宋" w:eastAsia="仿宋" w:cs="仿宋"/>
          <w:sz w:val="32"/>
          <w:szCs w:val="32"/>
        </w:rPr>
        <w:t xml:space="preserve"> </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（1）开展“法律六进”主题活动次数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指标目标值为14万场，设定分值10分。指标完成数值为14.5万场，</w:t>
      </w:r>
      <w:bookmarkStart w:id="2" w:name="_Hlk10026033"/>
      <w:r>
        <w:rPr>
          <w:rFonts w:hint="eastAsia" w:ascii="仿宋" w:hAnsi="仿宋" w:eastAsia="仿宋" w:cs="仿宋"/>
          <w:sz w:val="32"/>
          <w:szCs w:val="32"/>
        </w:rPr>
        <w:t>指标完成率100%</w:t>
      </w:r>
      <w:bookmarkEnd w:id="2"/>
      <w:r>
        <w:rPr>
          <w:rFonts w:hint="eastAsia" w:ascii="仿宋" w:hAnsi="仿宋" w:eastAsia="仿宋" w:cs="仿宋"/>
          <w:sz w:val="32"/>
          <w:szCs w:val="32"/>
        </w:rPr>
        <w:t>，得分10分，指标执行偏差率为0。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2018年，省司法厅与省委宣传部、省委组织部等联合印发了《关于组织开展宪法学习宣传教育活动的通知》和《关于在全省组织开展“尊法学法守法用法维护宪法权威”为主题的“法律六进”活动的通知》文件，2019年继续开展以“</w:t>
      </w:r>
      <w:r>
        <w:rPr>
          <w:rFonts w:hint="eastAsia" w:ascii="仿宋" w:hAnsi="仿宋" w:eastAsia="仿宋" w:cs="仿宋"/>
          <w:sz w:val="32"/>
          <w:szCs w:val="32"/>
          <w:lang w:eastAsia="zh-CN"/>
        </w:rPr>
        <w:t>尊法学法守法用法</w:t>
      </w:r>
      <w:r>
        <w:rPr>
          <w:rFonts w:hint="eastAsia" w:ascii="仿宋" w:hAnsi="仿宋" w:eastAsia="仿宋" w:cs="仿宋"/>
          <w:sz w:val="32"/>
          <w:szCs w:val="32"/>
        </w:rPr>
        <w:t>维护宪法权威”为主题的“法律六进”活动，在全省组织“</w:t>
      </w:r>
      <w:bookmarkStart w:id="5" w:name="_GoBack"/>
      <w:bookmarkEnd w:id="5"/>
      <w:r>
        <w:rPr>
          <w:rFonts w:hint="eastAsia" w:ascii="仿宋" w:hAnsi="仿宋" w:eastAsia="仿宋" w:cs="仿宋"/>
          <w:sz w:val="32"/>
          <w:szCs w:val="32"/>
        </w:rPr>
        <w:t>宪法荆楚行”“宪法荆楚学”“宪法荆楚风”“宪法荆楚声”“宪法荆楚韵”系列活动，全省累计开展“法律六进”主题活动14.5万场，推动了法律普及，加强了公民法制观念。</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（2）参加无纸化学法用法考法人数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指标目标值为35万人，设定分值10分。指标完成值35.9万人，指标完成率100%，得分10分，指标执行偏差率为0。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2019年，省普法办组织开展全省无纸化统一考试。湖北省各地各部门精心组织，积极宣传，措施有力，确保了统一考试工作顺利进行，据统计全省有35.9万人参加了考试。</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（3）省级法治文化示范点创建个数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指标目标值为220个，设定分值10分。指标完成数值为183个，指标完成率83.18%，得分8.32分，指标执行偏差率为-16.82%。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省司法厅开展了全省第三批“省级法治文化建设示范点”命名工作。印发《关于命名全省第三批“省级法治文化建设示范点”的通报》，命名武汉市硚口警察公园等33个法治文化公园（广场）、荆州市道路交通安全宣传教育基地等10个法治文化场馆，宜都市陆城街道办事处锦江社区等72个法治文化村居（社区、街道），省卫生健康委等68个法治文化机关（单位）等4大类共183个法治文化阵地为全省第三批“省级法治文化建设示范点”。与年初目标存在一定的差距,主要原因是普法工作的创新力度还不够大，落实“谁执法谁普法”普法责任制的措施还不够硬，多层次多领域的依法治理工作还需要进一步加强探索等。今后要</w:t>
      </w:r>
      <w:r>
        <w:rPr>
          <w:rFonts w:ascii="仿宋" w:hAnsi="仿宋" w:eastAsia="仿宋" w:cs="仿宋"/>
          <w:sz w:val="32"/>
          <w:szCs w:val="32"/>
        </w:rPr>
        <w:t>进一步</w:t>
      </w:r>
      <w:r>
        <w:rPr>
          <w:rFonts w:hint="eastAsia" w:ascii="仿宋" w:hAnsi="仿宋" w:eastAsia="仿宋" w:cs="仿宋"/>
          <w:sz w:val="32"/>
          <w:szCs w:val="32"/>
        </w:rPr>
        <w:t>推进法治文化阵地建设，深化省级法治文化建设示范点的指导管理和创建活动。</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（4）省级法治动漫微电影评选数量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指标目标值为150部，设定分值10分。指标完成数值为162部，指标完成率100%，得分10分，指标执行偏差率为0。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省司法厅组织开展全省第二届法治动漫微电影大赛评审工作，活动共收到16个市州20多家部门（单位）报送的386部作品。按照公开、公平、公正原则，实行公众网络投票和专家评审，最终评选出各类获奖作品162部。</w:t>
      </w:r>
    </w:p>
    <w:p>
      <w:pPr>
        <w:pStyle w:val="2"/>
        <w:spacing w:line="560" w:lineRule="exact"/>
        <w:ind w:firstLine="643"/>
        <w:rPr>
          <w:sz w:val="32"/>
          <w:szCs w:val="32"/>
        </w:rPr>
      </w:pPr>
      <w:r>
        <w:rPr>
          <w:rFonts w:hint="eastAsia" w:ascii="仿宋" w:hAnsi="仿宋" w:eastAsia="仿宋" w:cs="仿宋"/>
          <w:b/>
          <w:sz w:val="32"/>
          <w:szCs w:val="32"/>
        </w:rPr>
        <w:t>2、产出质量指标完成情况分析</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产出数量指标评价设定分值40分，综合评价得分30.00分，得分率75%。</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（1）落实“谁执法谁普法”普法责任制覆盖率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指标目标值为80%，设定分值10分。指标完成数值为100%，指标完成率100%，得分10分，指标执行偏差率为0。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提高新颁布法律的知晓度，省司法厅制定“谁执法谁普法”责任制度，印发《省直单位2019年度普法责任清单》，明确了108家省直单位普法责任，并积极指导、督促全省17个市州制定普法责任清单，推动各级国家机关切实履行普法主体责任，为新颁布法律的宣传指定了责任主体，确保了新颁布法律宣传率达到100%。</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（2）法治县</w:t>
      </w:r>
      <w:bookmarkStart w:id="3" w:name="_Hlk10027141"/>
      <w:r>
        <w:rPr>
          <w:rFonts w:hint="eastAsia" w:ascii="仿宋" w:hAnsi="仿宋" w:eastAsia="仿宋" w:cs="仿宋"/>
          <w:b/>
          <w:bCs/>
          <w:sz w:val="32"/>
          <w:szCs w:val="32"/>
        </w:rPr>
        <w:t>（市、区）</w:t>
      </w:r>
      <w:bookmarkEnd w:id="3"/>
      <w:r>
        <w:rPr>
          <w:rFonts w:hint="eastAsia" w:ascii="仿宋" w:hAnsi="仿宋" w:eastAsia="仿宋" w:cs="仿宋"/>
          <w:b/>
          <w:bCs/>
          <w:sz w:val="32"/>
          <w:szCs w:val="32"/>
        </w:rPr>
        <w:t>创建活动覆盖面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指标目标值为90%，设定分值10分。指标完成数值为</w:t>
      </w:r>
      <w:r>
        <w:rPr>
          <w:rFonts w:ascii="仿宋" w:hAnsi="仿宋" w:eastAsia="仿宋" w:cs="仿宋"/>
          <w:sz w:val="32"/>
          <w:szCs w:val="32"/>
        </w:rPr>
        <w:t>90</w:t>
      </w:r>
      <w:r>
        <w:rPr>
          <w:rFonts w:hint="eastAsia" w:ascii="仿宋" w:hAnsi="仿宋" w:eastAsia="仿宋" w:cs="仿宋"/>
          <w:sz w:val="32"/>
          <w:szCs w:val="32"/>
        </w:rPr>
        <w:t>%，指标完成率</w:t>
      </w:r>
      <w:r>
        <w:rPr>
          <w:rFonts w:ascii="仿宋" w:hAnsi="仿宋" w:eastAsia="仿宋" w:cs="仿宋"/>
          <w:sz w:val="32"/>
          <w:szCs w:val="32"/>
        </w:rPr>
        <w:t>100%</w:t>
      </w:r>
      <w:r>
        <w:rPr>
          <w:rFonts w:hint="eastAsia" w:ascii="仿宋" w:hAnsi="仿宋" w:eastAsia="仿宋" w:cs="仿宋"/>
          <w:sz w:val="32"/>
          <w:szCs w:val="32"/>
        </w:rPr>
        <w:t>，得分10分，指标执行偏差率为</w:t>
      </w:r>
      <w:r>
        <w:rPr>
          <w:rFonts w:ascii="仿宋" w:hAnsi="仿宋" w:eastAsia="仿宋" w:cs="仿宋"/>
          <w:sz w:val="32"/>
          <w:szCs w:val="32"/>
        </w:rPr>
        <w:t>0</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2019年，省司法厅继续推进“四个100”（法治示范医院、学校、企业、村（社区））法治创建活动，以发挥典型法制县（市、区）引领示范作用，带动全省“七五”普法依法治理工作深入开展。</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（3）民主法治示范村（社区）创建活动覆盖面</w:t>
      </w:r>
    </w:p>
    <w:p>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指标目标值为50%，设定分值10分。指标完成数值为81.80%，指标完成率100%，得分10分，指标执行偏差率为0。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w:t>
      </w:r>
      <w:r>
        <w:rPr>
          <w:rFonts w:ascii="仿宋" w:hAnsi="仿宋" w:eastAsia="仿宋" w:cs="仿宋"/>
          <w:sz w:val="32"/>
          <w:szCs w:val="32"/>
        </w:rPr>
        <w:t>，</w:t>
      </w:r>
      <w:r>
        <w:rPr>
          <w:rFonts w:hint="eastAsia" w:ascii="仿宋" w:hAnsi="仿宋" w:eastAsia="仿宋" w:cs="仿宋"/>
          <w:sz w:val="32"/>
          <w:szCs w:val="32"/>
        </w:rPr>
        <w:t>认真做好“全国民主法治示范村（社区）”复核工作。联合省民政厅开展全国民主法治示范村（社区）复核工作，通过市县司法局初核、省厅实地复核、民政部门审核同意、社会公示等，经司法部批复同意，全省130个全国民主法治示范村（社区）保留命名。</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（4）法治建设示范单位创建活动覆盖面</w:t>
      </w:r>
    </w:p>
    <w:p>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指标目标值为60%，设定分值10分。指标完成数值为92.70%，指标完成率100%，得10分，指标执行偏差率为0。</w:t>
      </w:r>
    </w:p>
    <w:p>
      <w:pPr>
        <w:pStyle w:val="2"/>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2019年</w:t>
      </w:r>
      <w:r>
        <w:rPr>
          <w:rFonts w:ascii="仿宋" w:hAnsi="仿宋" w:eastAsia="仿宋" w:cs="仿宋"/>
          <w:sz w:val="32"/>
          <w:szCs w:val="32"/>
        </w:rPr>
        <w:t>，省司法厅</w:t>
      </w:r>
      <w:r>
        <w:rPr>
          <w:rFonts w:hint="eastAsia" w:ascii="仿宋" w:hAnsi="仿宋" w:eastAsia="仿宋" w:cs="仿宋"/>
          <w:sz w:val="32"/>
          <w:szCs w:val="32"/>
        </w:rPr>
        <w:t>推动落实普法责任制。拟订普法共性清单内容，收集整理102家省直单位报送的个性普法责任清单，印发《省直单位2019年度普法责任清单》。</w:t>
      </w:r>
    </w:p>
    <w:p>
      <w:pPr>
        <w:spacing w:line="560" w:lineRule="exact"/>
        <w:ind w:firstLine="643" w:firstLineChars="200"/>
        <w:rPr>
          <w:rFonts w:ascii="仿宋" w:hAnsi="仿宋" w:eastAsia="仿宋" w:cs="仿宋"/>
          <w:b/>
          <w:sz w:val="32"/>
          <w:szCs w:val="32"/>
        </w:rPr>
      </w:pPr>
      <w:r>
        <w:rPr>
          <w:rFonts w:hint="eastAsia" w:ascii="黑体" w:hAnsi="黑体" w:eastAsia="黑体" w:cs="黑体"/>
          <w:b/>
          <w:sz w:val="32"/>
          <w:szCs w:val="32"/>
        </w:rPr>
        <w:t>四、自评结果拟应用情况</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（一）下一步整改措施</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1、项目整改措施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在绩效自评结果确定后二十日内，以正式文件或函件等形式将绩效自评结果和整改要求反馈给项目执行部门。项目执行部门按下述整改措施，在九十日内逐项落实到位。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坚持预算编制全面性和准确性等原则，进一步增强预算编制的科学性、前瞻性和准确性，不断提高预算编制质量。二是强化预算的刚性约束，按照批复的项目预算和单位年度工作计划，坚守“量入为出”等预算管理原则，严格执行预算。三是健全以法治城市、法治县（市、区）创建为主体，以法治部门、法治行业创建为支撑，以基层法治创建为基础的法治创建体系。</w:t>
      </w:r>
    </w:p>
    <w:p>
      <w:pPr>
        <w:spacing w:line="560" w:lineRule="exact"/>
        <w:rPr>
          <w:rFonts w:ascii="仿宋" w:hAnsi="仿宋" w:eastAsia="仿宋" w:cs="仿宋"/>
          <w:b/>
          <w:sz w:val="32"/>
          <w:szCs w:val="32"/>
        </w:rPr>
      </w:pPr>
      <w:r>
        <w:rPr>
          <w:rFonts w:hint="eastAsia" w:ascii="仿宋" w:hAnsi="仿宋" w:eastAsia="仿宋" w:cs="仿宋"/>
          <w:b/>
          <w:sz w:val="32"/>
          <w:szCs w:val="32"/>
        </w:rPr>
        <w:t xml:space="preserve">    2、绩效目标调整完善措施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为进一步完善绩效指标体系，充分发挥绩效目标的导向和激励作用，根据</w:t>
      </w:r>
      <w:r>
        <w:rPr>
          <w:rFonts w:ascii="仿宋" w:hAnsi="仿宋" w:eastAsia="仿宋" w:cs="仿宋"/>
          <w:sz w:val="32"/>
          <w:szCs w:val="32"/>
        </w:rPr>
        <w:t>机构改革后的</w:t>
      </w:r>
      <w:r>
        <w:rPr>
          <w:rFonts w:hint="eastAsia" w:ascii="仿宋" w:hAnsi="仿宋" w:eastAsia="仿宋" w:cs="仿宋"/>
          <w:sz w:val="32"/>
          <w:szCs w:val="32"/>
        </w:rPr>
        <w:t>新职能新定位，按照指向明确、细化量化、合理可行、相应匹配的原则，科学合理设定预算绩效目标。</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（二）拟与预算安排相结合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1、绩效自评结果拟作为2020年度项目预算调整及2021年度项目预算编制和财政资金安排的重要依据。</w:t>
      </w:r>
    </w:p>
    <w:p>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2、努力提高预算年度工作任务计划的精准性，进一步明确项目主管单位（部门）预算管理职责，重视业务骨干参与预算管理工作全过程的协调，切实加强预算管理工作。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3、建立项目绩效考核机制，将项目实施过程和自评结果与人员绩效考核挂钩，增强项目实施人员的积极性和责任心，正确引导项目实施方向，确保实现项目目标。</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（三）拟公开情况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1、按照省级部门预决算公开的要求，将项目绩效自评结果随部门预决算一并公开。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2、在部门内部进行通报，并按照政府信息公开的有关规定在省司法厅门户网站公示。</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五、</w:t>
      </w:r>
      <w:bookmarkStart w:id="4" w:name="_Hlk10023484"/>
      <w:r>
        <w:rPr>
          <w:rFonts w:hint="eastAsia" w:ascii="黑体" w:hAnsi="黑体" w:eastAsia="黑体" w:cs="黑体"/>
          <w:b/>
          <w:sz w:val="32"/>
          <w:szCs w:val="32"/>
        </w:rPr>
        <w:t>2019年度</w:t>
      </w:r>
      <w:bookmarkEnd w:id="4"/>
      <w:r>
        <w:rPr>
          <w:rFonts w:hint="eastAsia" w:ascii="黑体" w:hAnsi="黑体" w:eastAsia="黑体" w:cs="黑体"/>
          <w:b/>
          <w:sz w:val="32"/>
          <w:szCs w:val="32"/>
        </w:rPr>
        <w:t>普法宣传项目绩效目标自评表（附后）</w:t>
      </w:r>
    </w:p>
    <w:p>
      <w:pPr>
        <w:pStyle w:val="2"/>
        <w:spacing w:line="560" w:lineRule="exact"/>
        <w:ind w:firstLine="643"/>
        <w:rPr>
          <w:rFonts w:ascii="仿宋" w:hAnsi="仿宋" w:eastAsia="仿宋" w:cs="仿宋"/>
          <w:b/>
          <w:sz w:val="32"/>
          <w:szCs w:val="32"/>
        </w:rPr>
      </w:pPr>
    </w:p>
    <w:p>
      <w:pPr>
        <w:pStyle w:val="2"/>
        <w:spacing w:line="560" w:lineRule="exact"/>
        <w:ind w:firstLine="643"/>
        <w:rPr>
          <w:rFonts w:ascii="仿宋" w:hAnsi="仿宋" w:eastAsia="仿宋" w:cs="仿宋"/>
          <w:b/>
          <w:sz w:val="32"/>
          <w:szCs w:val="32"/>
        </w:rPr>
      </w:pPr>
    </w:p>
    <w:p>
      <w:pPr>
        <w:pStyle w:val="2"/>
        <w:spacing w:line="560" w:lineRule="exact"/>
        <w:ind w:firstLine="643"/>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湖北省司法厅绩效自评工作小组</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2020年6月25日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34F8"/>
    <w:rsid w:val="00006ABE"/>
    <w:rsid w:val="00010D85"/>
    <w:rsid w:val="00017256"/>
    <w:rsid w:val="00034272"/>
    <w:rsid w:val="00055C10"/>
    <w:rsid w:val="00056E24"/>
    <w:rsid w:val="000665B1"/>
    <w:rsid w:val="000672F5"/>
    <w:rsid w:val="00075742"/>
    <w:rsid w:val="0009474B"/>
    <w:rsid w:val="00096B48"/>
    <w:rsid w:val="000A02B8"/>
    <w:rsid w:val="000B1169"/>
    <w:rsid w:val="000B3DAB"/>
    <w:rsid w:val="000B6D80"/>
    <w:rsid w:val="000B747B"/>
    <w:rsid w:val="000D0D78"/>
    <w:rsid w:val="000D65C3"/>
    <w:rsid w:val="000D6C8C"/>
    <w:rsid w:val="0011717D"/>
    <w:rsid w:val="0012210B"/>
    <w:rsid w:val="001250EE"/>
    <w:rsid w:val="00126D05"/>
    <w:rsid w:val="00143BDA"/>
    <w:rsid w:val="0014626E"/>
    <w:rsid w:val="00151A52"/>
    <w:rsid w:val="00157E8E"/>
    <w:rsid w:val="00175BDE"/>
    <w:rsid w:val="00185617"/>
    <w:rsid w:val="001A5B8E"/>
    <w:rsid w:val="001B0C45"/>
    <w:rsid w:val="001C370A"/>
    <w:rsid w:val="001D5772"/>
    <w:rsid w:val="001E0EBB"/>
    <w:rsid w:val="001F0FF5"/>
    <w:rsid w:val="001F66FF"/>
    <w:rsid w:val="00217B51"/>
    <w:rsid w:val="0022203B"/>
    <w:rsid w:val="00223412"/>
    <w:rsid w:val="0023534D"/>
    <w:rsid w:val="00241954"/>
    <w:rsid w:val="00250580"/>
    <w:rsid w:val="00262386"/>
    <w:rsid w:val="0027719B"/>
    <w:rsid w:val="00277927"/>
    <w:rsid w:val="00283F17"/>
    <w:rsid w:val="00284A88"/>
    <w:rsid w:val="00296E7F"/>
    <w:rsid w:val="002B2623"/>
    <w:rsid w:val="002B6BC2"/>
    <w:rsid w:val="002C13CC"/>
    <w:rsid w:val="002C6C06"/>
    <w:rsid w:val="002E1BF5"/>
    <w:rsid w:val="002E52B5"/>
    <w:rsid w:val="002E5C9D"/>
    <w:rsid w:val="00310286"/>
    <w:rsid w:val="003142D1"/>
    <w:rsid w:val="00347AF2"/>
    <w:rsid w:val="0035718E"/>
    <w:rsid w:val="0036041A"/>
    <w:rsid w:val="00360568"/>
    <w:rsid w:val="00364C14"/>
    <w:rsid w:val="00365AD4"/>
    <w:rsid w:val="00381B28"/>
    <w:rsid w:val="003831C5"/>
    <w:rsid w:val="003945D4"/>
    <w:rsid w:val="00396E9A"/>
    <w:rsid w:val="003B13A4"/>
    <w:rsid w:val="003C18A9"/>
    <w:rsid w:val="003D1F08"/>
    <w:rsid w:val="003E4A95"/>
    <w:rsid w:val="003E7B49"/>
    <w:rsid w:val="003F2114"/>
    <w:rsid w:val="003F480D"/>
    <w:rsid w:val="004045E2"/>
    <w:rsid w:val="0041452D"/>
    <w:rsid w:val="004224A9"/>
    <w:rsid w:val="00423CE3"/>
    <w:rsid w:val="004249FA"/>
    <w:rsid w:val="0042722F"/>
    <w:rsid w:val="0043019A"/>
    <w:rsid w:val="004475E3"/>
    <w:rsid w:val="004542DE"/>
    <w:rsid w:val="0046270E"/>
    <w:rsid w:val="00470BE8"/>
    <w:rsid w:val="00472BA0"/>
    <w:rsid w:val="004813D1"/>
    <w:rsid w:val="00482437"/>
    <w:rsid w:val="00487EC3"/>
    <w:rsid w:val="004A34F8"/>
    <w:rsid w:val="004B012C"/>
    <w:rsid w:val="004B06C1"/>
    <w:rsid w:val="004B4A47"/>
    <w:rsid w:val="004C4E99"/>
    <w:rsid w:val="004C5941"/>
    <w:rsid w:val="004C7678"/>
    <w:rsid w:val="004D4825"/>
    <w:rsid w:val="004D5ADA"/>
    <w:rsid w:val="004E6013"/>
    <w:rsid w:val="004F5D77"/>
    <w:rsid w:val="004F6D37"/>
    <w:rsid w:val="00523AFC"/>
    <w:rsid w:val="0052776A"/>
    <w:rsid w:val="00542B46"/>
    <w:rsid w:val="00550715"/>
    <w:rsid w:val="00553F5E"/>
    <w:rsid w:val="00563F9C"/>
    <w:rsid w:val="005645D8"/>
    <w:rsid w:val="00565478"/>
    <w:rsid w:val="005729DF"/>
    <w:rsid w:val="00577854"/>
    <w:rsid w:val="005843B6"/>
    <w:rsid w:val="005B5910"/>
    <w:rsid w:val="005B5B26"/>
    <w:rsid w:val="005C0606"/>
    <w:rsid w:val="005C3D6A"/>
    <w:rsid w:val="005C420E"/>
    <w:rsid w:val="005C421E"/>
    <w:rsid w:val="005E3190"/>
    <w:rsid w:val="005E359C"/>
    <w:rsid w:val="005F4FAC"/>
    <w:rsid w:val="00606FA8"/>
    <w:rsid w:val="00607FF4"/>
    <w:rsid w:val="00614272"/>
    <w:rsid w:val="006218DB"/>
    <w:rsid w:val="006259D2"/>
    <w:rsid w:val="00626690"/>
    <w:rsid w:val="0064020F"/>
    <w:rsid w:val="00651943"/>
    <w:rsid w:val="00653D43"/>
    <w:rsid w:val="00661918"/>
    <w:rsid w:val="00672C25"/>
    <w:rsid w:val="006735A1"/>
    <w:rsid w:val="0067710E"/>
    <w:rsid w:val="00685C43"/>
    <w:rsid w:val="006A45B2"/>
    <w:rsid w:val="006B11FB"/>
    <w:rsid w:val="006B45E6"/>
    <w:rsid w:val="006C0836"/>
    <w:rsid w:val="006C777F"/>
    <w:rsid w:val="006D012B"/>
    <w:rsid w:val="006D3EE4"/>
    <w:rsid w:val="006F0FDA"/>
    <w:rsid w:val="0070687D"/>
    <w:rsid w:val="007068D4"/>
    <w:rsid w:val="007176A5"/>
    <w:rsid w:val="00723D7E"/>
    <w:rsid w:val="007244A1"/>
    <w:rsid w:val="007350C0"/>
    <w:rsid w:val="00741027"/>
    <w:rsid w:val="007542A0"/>
    <w:rsid w:val="00774FE9"/>
    <w:rsid w:val="00791FD9"/>
    <w:rsid w:val="007923A0"/>
    <w:rsid w:val="007B0DF6"/>
    <w:rsid w:val="007B0F94"/>
    <w:rsid w:val="007B79F3"/>
    <w:rsid w:val="007C783D"/>
    <w:rsid w:val="007E004C"/>
    <w:rsid w:val="007E7A38"/>
    <w:rsid w:val="007F2BD1"/>
    <w:rsid w:val="007F41B5"/>
    <w:rsid w:val="008021CB"/>
    <w:rsid w:val="00805AD6"/>
    <w:rsid w:val="008073B9"/>
    <w:rsid w:val="00815CCA"/>
    <w:rsid w:val="0082528F"/>
    <w:rsid w:val="008253EF"/>
    <w:rsid w:val="008335D7"/>
    <w:rsid w:val="0083503D"/>
    <w:rsid w:val="0085296D"/>
    <w:rsid w:val="0086481E"/>
    <w:rsid w:val="00866E1B"/>
    <w:rsid w:val="008725D6"/>
    <w:rsid w:val="00882D3B"/>
    <w:rsid w:val="008831C5"/>
    <w:rsid w:val="0089458C"/>
    <w:rsid w:val="00896887"/>
    <w:rsid w:val="008A675F"/>
    <w:rsid w:val="008A67D0"/>
    <w:rsid w:val="008A69A1"/>
    <w:rsid w:val="008D3C1E"/>
    <w:rsid w:val="008D3C64"/>
    <w:rsid w:val="008D43EF"/>
    <w:rsid w:val="008F0DCE"/>
    <w:rsid w:val="008F7425"/>
    <w:rsid w:val="00901A8E"/>
    <w:rsid w:val="00902F61"/>
    <w:rsid w:val="009039C0"/>
    <w:rsid w:val="00944B03"/>
    <w:rsid w:val="00953B9B"/>
    <w:rsid w:val="009578E6"/>
    <w:rsid w:val="0098447F"/>
    <w:rsid w:val="00992C53"/>
    <w:rsid w:val="009951D0"/>
    <w:rsid w:val="009A0513"/>
    <w:rsid w:val="009A1ABB"/>
    <w:rsid w:val="009A57E4"/>
    <w:rsid w:val="009C54F5"/>
    <w:rsid w:val="009D776F"/>
    <w:rsid w:val="009E21C9"/>
    <w:rsid w:val="009F67BE"/>
    <w:rsid w:val="00A00A2F"/>
    <w:rsid w:val="00A0163A"/>
    <w:rsid w:val="00A0382D"/>
    <w:rsid w:val="00A107CB"/>
    <w:rsid w:val="00A24573"/>
    <w:rsid w:val="00A36920"/>
    <w:rsid w:val="00A4039A"/>
    <w:rsid w:val="00A8232D"/>
    <w:rsid w:val="00A83873"/>
    <w:rsid w:val="00A93A34"/>
    <w:rsid w:val="00A93D95"/>
    <w:rsid w:val="00AA6CA5"/>
    <w:rsid w:val="00AA71E7"/>
    <w:rsid w:val="00AB0656"/>
    <w:rsid w:val="00AB1F20"/>
    <w:rsid w:val="00AB543C"/>
    <w:rsid w:val="00AC0EC1"/>
    <w:rsid w:val="00AD4838"/>
    <w:rsid w:val="00AE1342"/>
    <w:rsid w:val="00AE46F7"/>
    <w:rsid w:val="00AF18A0"/>
    <w:rsid w:val="00AF4069"/>
    <w:rsid w:val="00AF65BC"/>
    <w:rsid w:val="00B050C6"/>
    <w:rsid w:val="00B10FE1"/>
    <w:rsid w:val="00B22D4A"/>
    <w:rsid w:val="00B34027"/>
    <w:rsid w:val="00B4541A"/>
    <w:rsid w:val="00B46BC3"/>
    <w:rsid w:val="00B46F85"/>
    <w:rsid w:val="00B56F95"/>
    <w:rsid w:val="00B60040"/>
    <w:rsid w:val="00B819FF"/>
    <w:rsid w:val="00BA1EFD"/>
    <w:rsid w:val="00BA6300"/>
    <w:rsid w:val="00BB33F0"/>
    <w:rsid w:val="00BC4D8D"/>
    <w:rsid w:val="00BC6913"/>
    <w:rsid w:val="00BD0ADD"/>
    <w:rsid w:val="00BD6C13"/>
    <w:rsid w:val="00BE069E"/>
    <w:rsid w:val="00BE1FDB"/>
    <w:rsid w:val="00BE5131"/>
    <w:rsid w:val="00BF3AB2"/>
    <w:rsid w:val="00C05F98"/>
    <w:rsid w:val="00C06581"/>
    <w:rsid w:val="00C0745C"/>
    <w:rsid w:val="00C1391B"/>
    <w:rsid w:val="00C1552B"/>
    <w:rsid w:val="00C16A15"/>
    <w:rsid w:val="00C2020B"/>
    <w:rsid w:val="00C3510E"/>
    <w:rsid w:val="00C408B4"/>
    <w:rsid w:val="00C52FF3"/>
    <w:rsid w:val="00C54A92"/>
    <w:rsid w:val="00C5684B"/>
    <w:rsid w:val="00C61E8A"/>
    <w:rsid w:val="00C640CF"/>
    <w:rsid w:val="00C83D94"/>
    <w:rsid w:val="00CA7D79"/>
    <w:rsid w:val="00CB133F"/>
    <w:rsid w:val="00CC4D6F"/>
    <w:rsid w:val="00CE2904"/>
    <w:rsid w:val="00CE79D2"/>
    <w:rsid w:val="00CF4CF7"/>
    <w:rsid w:val="00D02F58"/>
    <w:rsid w:val="00D15171"/>
    <w:rsid w:val="00D15509"/>
    <w:rsid w:val="00D15A08"/>
    <w:rsid w:val="00D2030D"/>
    <w:rsid w:val="00D20460"/>
    <w:rsid w:val="00D25B30"/>
    <w:rsid w:val="00D4220C"/>
    <w:rsid w:val="00D52431"/>
    <w:rsid w:val="00D53F67"/>
    <w:rsid w:val="00D5599B"/>
    <w:rsid w:val="00D603F5"/>
    <w:rsid w:val="00D62F0B"/>
    <w:rsid w:val="00D654A8"/>
    <w:rsid w:val="00D70BB1"/>
    <w:rsid w:val="00D743F7"/>
    <w:rsid w:val="00D81EEC"/>
    <w:rsid w:val="00D87B29"/>
    <w:rsid w:val="00D920B2"/>
    <w:rsid w:val="00D92E9D"/>
    <w:rsid w:val="00DB4B6C"/>
    <w:rsid w:val="00DB5E44"/>
    <w:rsid w:val="00DC6A9B"/>
    <w:rsid w:val="00DC7DE2"/>
    <w:rsid w:val="00DE0A31"/>
    <w:rsid w:val="00DF16D2"/>
    <w:rsid w:val="00DF17C5"/>
    <w:rsid w:val="00E01549"/>
    <w:rsid w:val="00E10B34"/>
    <w:rsid w:val="00E1292C"/>
    <w:rsid w:val="00E1591E"/>
    <w:rsid w:val="00E20F7F"/>
    <w:rsid w:val="00E2278F"/>
    <w:rsid w:val="00E2314C"/>
    <w:rsid w:val="00E27D97"/>
    <w:rsid w:val="00E41509"/>
    <w:rsid w:val="00E44165"/>
    <w:rsid w:val="00E54E6E"/>
    <w:rsid w:val="00E6270B"/>
    <w:rsid w:val="00E63356"/>
    <w:rsid w:val="00E658BE"/>
    <w:rsid w:val="00E66BA2"/>
    <w:rsid w:val="00E7127C"/>
    <w:rsid w:val="00E72AFF"/>
    <w:rsid w:val="00E80014"/>
    <w:rsid w:val="00E90617"/>
    <w:rsid w:val="00EA0B85"/>
    <w:rsid w:val="00EA47BC"/>
    <w:rsid w:val="00EB6995"/>
    <w:rsid w:val="00ED10AD"/>
    <w:rsid w:val="00ED186C"/>
    <w:rsid w:val="00EE40A8"/>
    <w:rsid w:val="00EE6F71"/>
    <w:rsid w:val="00EE7CCD"/>
    <w:rsid w:val="00F03572"/>
    <w:rsid w:val="00F104ED"/>
    <w:rsid w:val="00F148C5"/>
    <w:rsid w:val="00F153F0"/>
    <w:rsid w:val="00F21769"/>
    <w:rsid w:val="00F25F45"/>
    <w:rsid w:val="00F3389A"/>
    <w:rsid w:val="00F33F1B"/>
    <w:rsid w:val="00F4461A"/>
    <w:rsid w:val="00F6239A"/>
    <w:rsid w:val="00F66D4D"/>
    <w:rsid w:val="00F80763"/>
    <w:rsid w:val="00F84E08"/>
    <w:rsid w:val="00F859F4"/>
    <w:rsid w:val="00F93A8E"/>
    <w:rsid w:val="00F948A4"/>
    <w:rsid w:val="00FB1BCA"/>
    <w:rsid w:val="00FC19B7"/>
    <w:rsid w:val="00FC20E0"/>
    <w:rsid w:val="00FC554A"/>
    <w:rsid w:val="00FD589F"/>
    <w:rsid w:val="00FE48CF"/>
    <w:rsid w:val="00FE7986"/>
    <w:rsid w:val="04002ADD"/>
    <w:rsid w:val="04130559"/>
    <w:rsid w:val="054C438E"/>
    <w:rsid w:val="0B384B7B"/>
    <w:rsid w:val="0C1B0872"/>
    <w:rsid w:val="0D3E4445"/>
    <w:rsid w:val="0DAC5F88"/>
    <w:rsid w:val="0E196EA8"/>
    <w:rsid w:val="0EAE469F"/>
    <w:rsid w:val="0F116B4C"/>
    <w:rsid w:val="118814CE"/>
    <w:rsid w:val="11DE2150"/>
    <w:rsid w:val="124824B2"/>
    <w:rsid w:val="127412D0"/>
    <w:rsid w:val="12762816"/>
    <w:rsid w:val="12D30256"/>
    <w:rsid w:val="1428622F"/>
    <w:rsid w:val="14CF77D0"/>
    <w:rsid w:val="165038B0"/>
    <w:rsid w:val="16B023FA"/>
    <w:rsid w:val="18101985"/>
    <w:rsid w:val="1984686F"/>
    <w:rsid w:val="1B7F36C1"/>
    <w:rsid w:val="1C3214AB"/>
    <w:rsid w:val="1ED7575B"/>
    <w:rsid w:val="20097632"/>
    <w:rsid w:val="2127162E"/>
    <w:rsid w:val="21F7370C"/>
    <w:rsid w:val="248212A7"/>
    <w:rsid w:val="28B62889"/>
    <w:rsid w:val="28EE4006"/>
    <w:rsid w:val="2C893FF4"/>
    <w:rsid w:val="32DA0509"/>
    <w:rsid w:val="340536B5"/>
    <w:rsid w:val="37EF4949"/>
    <w:rsid w:val="397F4D2D"/>
    <w:rsid w:val="3A877AF6"/>
    <w:rsid w:val="3DA21229"/>
    <w:rsid w:val="3DAA3BD2"/>
    <w:rsid w:val="3E535246"/>
    <w:rsid w:val="3E827537"/>
    <w:rsid w:val="3F76158D"/>
    <w:rsid w:val="41F83F39"/>
    <w:rsid w:val="42A5427E"/>
    <w:rsid w:val="42C675CA"/>
    <w:rsid w:val="478303AD"/>
    <w:rsid w:val="4806760C"/>
    <w:rsid w:val="48E63017"/>
    <w:rsid w:val="4A3F0B0A"/>
    <w:rsid w:val="4A57558D"/>
    <w:rsid w:val="4A9506D9"/>
    <w:rsid w:val="4E4221C8"/>
    <w:rsid w:val="4F955DFD"/>
    <w:rsid w:val="53DE30EB"/>
    <w:rsid w:val="57F94FBC"/>
    <w:rsid w:val="5A3078B1"/>
    <w:rsid w:val="5C9F3D5B"/>
    <w:rsid w:val="5DA87DE5"/>
    <w:rsid w:val="607537C1"/>
    <w:rsid w:val="62EB59B4"/>
    <w:rsid w:val="635752F2"/>
    <w:rsid w:val="652423E6"/>
    <w:rsid w:val="66312133"/>
    <w:rsid w:val="668F547F"/>
    <w:rsid w:val="66FD5AC8"/>
    <w:rsid w:val="67135BA7"/>
    <w:rsid w:val="682D4180"/>
    <w:rsid w:val="6B277E1A"/>
    <w:rsid w:val="6B442B3F"/>
    <w:rsid w:val="6D292F73"/>
    <w:rsid w:val="6F4151E7"/>
    <w:rsid w:val="72DA519B"/>
    <w:rsid w:val="72EA18CE"/>
    <w:rsid w:val="73D73009"/>
    <w:rsid w:val="766B3F42"/>
    <w:rsid w:val="7742296C"/>
    <w:rsid w:val="77515DD4"/>
    <w:rsid w:val="77D7636B"/>
    <w:rsid w:val="7C8C3151"/>
    <w:rsid w:val="7CB43C1F"/>
    <w:rsid w:val="7CE7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firstLine="880" w:firstLineChars="200"/>
    </w:pPr>
  </w:style>
  <w:style w:type="paragraph" w:styleId="3">
    <w:name w:val="annotation text"/>
    <w:basedOn w:val="1"/>
    <w:link w:val="15"/>
    <w:semiHidden/>
    <w:unhideWhenUsed/>
    <w:qFormat/>
    <w:uiPriority w:val="99"/>
    <w:pPr>
      <w:jc w:val="left"/>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spacing w:line="390" w:lineRule="atLeast"/>
      <w:jc w:val="left"/>
    </w:pPr>
    <w:rPr>
      <w:rFonts w:ascii="宋体" w:hAnsi="宋体" w:cs="宋体"/>
      <w:szCs w:val="21"/>
    </w:rPr>
  </w:style>
  <w:style w:type="character" w:styleId="11">
    <w:name w:val="annotation reference"/>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rPr>
      <w:rFonts w:ascii="Times New Roman" w:hAnsi="Times New Roman" w:eastAsia="宋体" w:cs="Times New Roman"/>
      <w:szCs w:val="24"/>
    </w:rPr>
  </w:style>
  <w:style w:type="character" w:customStyle="1" w:styleId="15">
    <w:name w:val="批注文字 字符"/>
    <w:basedOn w:val="10"/>
    <w:link w:val="3"/>
    <w:semiHidden/>
    <w:qFormat/>
    <w:uiPriority w:val="99"/>
    <w:rPr>
      <w:rFonts w:ascii="Times New Roman" w:hAnsi="Times New Roman" w:eastAsia="宋体" w:cs="Times New Roman"/>
      <w:szCs w:val="24"/>
    </w:rPr>
  </w:style>
  <w:style w:type="character" w:customStyle="1" w:styleId="16">
    <w:name w:val="批注框文本 字符"/>
    <w:basedOn w:val="10"/>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font01"/>
    <w:basedOn w:val="10"/>
    <w:qFormat/>
    <w:uiPriority w:val="0"/>
    <w:rPr>
      <w:rFonts w:hint="eastAsia" w:ascii="仿宋_GB2312" w:eastAsia="仿宋_GB2312" w:cs="仿宋_GB2312"/>
      <w:b/>
      <w:color w:val="000000"/>
      <w:sz w:val="20"/>
      <w:szCs w:val="20"/>
      <w:u w:val="none"/>
    </w:rPr>
  </w:style>
  <w:style w:type="character" w:customStyle="1" w:styleId="19">
    <w:name w:val="font51"/>
    <w:basedOn w:val="10"/>
    <w:qFormat/>
    <w:uiPriority w:val="0"/>
    <w:rPr>
      <w:rFonts w:hint="eastAsia" w:ascii="仿宋_GB2312" w:eastAsia="仿宋_GB2312" w:cs="仿宋_GB2312"/>
      <w:color w:val="000000"/>
      <w:sz w:val="20"/>
      <w:szCs w:val="20"/>
      <w:u w:val="none"/>
    </w:rPr>
  </w:style>
  <w:style w:type="character" w:customStyle="1" w:styleId="20">
    <w:name w:val="font41"/>
    <w:basedOn w:val="10"/>
    <w:qFormat/>
    <w:uiPriority w:val="0"/>
    <w:rPr>
      <w:rFonts w:hint="eastAsia" w:ascii="仿宋_GB2312" w:eastAsia="仿宋_GB2312" w:cs="仿宋_GB2312"/>
      <w:b/>
      <w:color w:val="000000"/>
      <w:sz w:val="20"/>
      <w:szCs w:val="20"/>
      <w:u w:val="none"/>
    </w:rPr>
  </w:style>
  <w:style w:type="character" w:customStyle="1" w:styleId="21">
    <w:name w:val="font71"/>
    <w:basedOn w:val="10"/>
    <w:qFormat/>
    <w:uiPriority w:val="0"/>
    <w:rPr>
      <w:rFonts w:hint="eastAsia" w:ascii="仿宋_GB2312" w:eastAsia="仿宋_GB2312" w:cs="仿宋_GB2312"/>
      <w:color w:val="000000"/>
      <w:sz w:val="20"/>
      <w:szCs w:val="20"/>
      <w:u w:val="none"/>
    </w:rPr>
  </w:style>
  <w:style w:type="paragraph" w:customStyle="1" w:styleId="22">
    <w:name w:val="正文首行缩进 21"/>
    <w:basedOn w:val="1"/>
    <w:qFormat/>
    <w:uiPriority w:val="0"/>
    <w:pPr>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2EC54-0827-4AC4-9A97-2588C02E66B4}">
  <ds:schemaRefs/>
</ds:datastoreItem>
</file>

<file path=docProps/app.xml><?xml version="1.0" encoding="utf-8"?>
<Properties xmlns="http://schemas.openxmlformats.org/officeDocument/2006/extended-properties" xmlns:vt="http://schemas.openxmlformats.org/officeDocument/2006/docPropsVTypes">
  <Template>Normal</Template>
  <Pages>10</Pages>
  <Words>703</Words>
  <Characters>4013</Characters>
  <Lines>33</Lines>
  <Paragraphs>9</Paragraphs>
  <TotalTime>26</TotalTime>
  <ScaleCrop>false</ScaleCrop>
  <LinksUpToDate>false</LinksUpToDate>
  <CharactersWithSpaces>4707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2019-04-26T02:32:00Z</dcterms:created>
  <dc:creator>lenovo</dc:creator>
  <cp:lastModifiedBy>韵～</cp:lastModifiedBy>
  <dcterms:modified xsi:type="dcterms:W3CDTF">2024-03-18T02:18:48Z</dcterms:modified>
  <cp:revision>1007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