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156" w:beforeLines="50" w:after="156" w:afterLines="50" w:line="360" w:lineRule="auto"/>
        <w:jc w:val="center"/>
        <w:rPr>
          <w:rFonts w:eastAsia="方正小标宋简体"/>
          <w:b/>
          <w:sz w:val="48"/>
          <w:szCs w:val="48"/>
        </w:rPr>
      </w:pPr>
      <w:r>
        <w:rPr>
          <w:rFonts w:eastAsia="方正小标宋简体"/>
          <w:b/>
          <w:sz w:val="48"/>
          <w:szCs w:val="48"/>
        </w:rPr>
        <w:t>湖北省省级财政项目支出绩效自评报告</w:t>
      </w:r>
    </w:p>
    <w:p>
      <w:pPr>
        <w:topLinePunct/>
        <w:spacing w:line="360" w:lineRule="auto"/>
        <w:jc w:val="center"/>
        <w:rPr>
          <w:rFonts w:eastAsia="方正小标宋简体"/>
          <w:b/>
          <w:sz w:val="44"/>
          <w:szCs w:val="44"/>
        </w:rPr>
      </w:pPr>
      <w:r>
        <w:rPr>
          <w:rFonts w:eastAsia="方正小标宋简体"/>
          <w:b/>
          <w:sz w:val="44"/>
          <w:szCs w:val="44"/>
        </w:rPr>
        <w:t>（201</w:t>
      </w:r>
      <w:r>
        <w:rPr>
          <w:rFonts w:hint="eastAsia" w:eastAsia="方正小标宋简体"/>
          <w:b/>
          <w:sz w:val="44"/>
          <w:szCs w:val="44"/>
        </w:rPr>
        <w:t>9</w:t>
      </w:r>
      <w:r>
        <w:rPr>
          <w:rFonts w:eastAsia="方正小标宋简体"/>
          <w:b/>
          <w:sz w:val="44"/>
          <w:szCs w:val="44"/>
        </w:rPr>
        <w:t>年度）</w:t>
      </w: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before="312" w:beforeLines="100" w:after="312" w:afterLines="100" w:line="360" w:lineRule="auto"/>
        <w:ind w:firstLine="643" w:firstLineChars="200"/>
        <w:rPr>
          <w:b/>
          <w:bCs/>
          <w:kern w:val="0"/>
          <w:sz w:val="32"/>
          <w:szCs w:val="32"/>
        </w:rPr>
      </w:pPr>
      <w:r>
        <w:rPr>
          <w:b/>
          <w:bCs/>
          <w:kern w:val="0"/>
          <w:sz w:val="32"/>
          <w:szCs w:val="32"/>
        </w:rPr>
        <w:t>项目名称：</w:t>
      </w:r>
      <w:r>
        <w:rPr>
          <w:rFonts w:hint="eastAsia"/>
          <w:b/>
          <w:bCs/>
          <w:kern w:val="0"/>
          <w:sz w:val="32"/>
          <w:szCs w:val="32"/>
        </w:rPr>
        <w:t>戒毒工作业务管理费</w:t>
      </w:r>
    </w:p>
    <w:p>
      <w:pPr>
        <w:topLinePunct/>
        <w:spacing w:before="312" w:beforeLines="100" w:after="312" w:afterLines="100" w:line="360" w:lineRule="auto"/>
        <w:ind w:firstLine="643" w:firstLineChars="200"/>
        <w:rPr>
          <w:b/>
          <w:bCs/>
          <w:kern w:val="0"/>
          <w:sz w:val="32"/>
          <w:szCs w:val="32"/>
        </w:rPr>
      </w:pPr>
      <w:r>
        <w:rPr>
          <w:b/>
          <w:bCs/>
          <w:kern w:val="0"/>
          <w:sz w:val="32"/>
          <w:szCs w:val="32"/>
        </w:rPr>
        <w:t>项目单位：</w:t>
      </w:r>
      <w:r>
        <w:rPr>
          <w:rFonts w:hint="eastAsia"/>
          <w:b/>
          <w:bCs/>
          <w:kern w:val="0"/>
          <w:sz w:val="32"/>
          <w:szCs w:val="32"/>
        </w:rPr>
        <w:t>湖北省戒毒管理局</w:t>
      </w:r>
    </w:p>
    <w:p>
      <w:pPr>
        <w:topLinePunct/>
        <w:spacing w:before="312" w:beforeLines="100" w:after="312" w:afterLines="100" w:line="360" w:lineRule="auto"/>
        <w:ind w:firstLine="643" w:firstLineChars="200"/>
        <w:rPr>
          <w:b/>
          <w:bCs/>
          <w:kern w:val="0"/>
          <w:sz w:val="32"/>
          <w:szCs w:val="32"/>
        </w:rPr>
      </w:pPr>
      <w:r>
        <w:rPr>
          <w:b/>
          <w:bCs/>
          <w:kern w:val="0"/>
          <w:sz w:val="32"/>
          <w:szCs w:val="32"/>
        </w:rPr>
        <w:t>主管</w:t>
      </w:r>
      <w:r>
        <w:rPr>
          <w:rFonts w:hint="eastAsia"/>
          <w:b/>
          <w:bCs/>
          <w:kern w:val="0"/>
          <w:sz w:val="32"/>
          <w:szCs w:val="32"/>
        </w:rPr>
        <w:t>部门</w:t>
      </w:r>
      <w:r>
        <w:rPr>
          <w:b/>
          <w:bCs/>
          <w:kern w:val="0"/>
          <w:sz w:val="32"/>
          <w:szCs w:val="32"/>
        </w:rPr>
        <w:t>：</w:t>
      </w:r>
      <w:r>
        <w:rPr>
          <w:rFonts w:hint="eastAsia"/>
          <w:b/>
          <w:bCs/>
          <w:kern w:val="0"/>
          <w:sz w:val="32"/>
          <w:szCs w:val="32"/>
        </w:rPr>
        <w:t>湖北省司法厅</w:t>
      </w:r>
    </w:p>
    <w:p>
      <w:pPr>
        <w:topLinePunct/>
        <w:spacing w:before="312" w:beforeLines="100" w:after="312" w:afterLines="100" w:line="360" w:lineRule="auto"/>
        <w:ind w:firstLine="643" w:firstLineChars="200"/>
        <w:rPr>
          <w:b/>
          <w:bCs/>
          <w:kern w:val="0"/>
          <w:sz w:val="32"/>
          <w:szCs w:val="32"/>
        </w:rPr>
      </w:pPr>
      <w:r>
        <w:rPr>
          <w:b/>
          <w:bCs/>
          <w:kern w:val="0"/>
          <w:sz w:val="32"/>
          <w:szCs w:val="32"/>
        </w:rPr>
        <w:t>评价机构：</w:t>
      </w:r>
      <w:r>
        <w:rPr>
          <w:rFonts w:hint="eastAsia"/>
          <w:b/>
          <w:sz w:val="32"/>
          <w:szCs w:val="32"/>
        </w:rPr>
        <w:t>湖北</w:t>
      </w:r>
      <w:r>
        <w:rPr>
          <w:rFonts w:hint="eastAsia"/>
          <w:b/>
          <w:bCs/>
          <w:kern w:val="0"/>
          <w:sz w:val="32"/>
          <w:szCs w:val="32"/>
        </w:rPr>
        <w:t>省戒毒局</w:t>
      </w:r>
      <w:r>
        <w:rPr>
          <w:b/>
          <w:sz w:val="32"/>
          <w:szCs w:val="32"/>
        </w:rPr>
        <w:t>绩效自评</w:t>
      </w:r>
      <w:r>
        <w:rPr>
          <w:rFonts w:hint="eastAsia"/>
          <w:b/>
          <w:sz w:val="32"/>
          <w:szCs w:val="32"/>
        </w:rPr>
        <w:t>工作</w:t>
      </w:r>
      <w:r>
        <w:rPr>
          <w:b/>
          <w:sz w:val="32"/>
          <w:szCs w:val="32"/>
        </w:rPr>
        <w:t>小组</w:t>
      </w:r>
    </w:p>
    <w:p>
      <w:pPr>
        <w:topLinePunct/>
        <w:snapToGrid w:val="0"/>
        <w:spacing w:line="360" w:lineRule="auto"/>
        <w:jc w:val="center"/>
        <w:rPr>
          <w:b/>
          <w:bCs/>
          <w:kern w:val="0"/>
          <w:sz w:val="32"/>
          <w:szCs w:val="32"/>
        </w:rPr>
      </w:pPr>
    </w:p>
    <w:p>
      <w:pPr>
        <w:topLinePunct/>
        <w:snapToGrid w:val="0"/>
        <w:spacing w:line="360" w:lineRule="auto"/>
        <w:jc w:val="center"/>
        <w:rPr>
          <w:b/>
          <w:bCs/>
          <w:kern w:val="0"/>
          <w:sz w:val="32"/>
          <w:szCs w:val="32"/>
        </w:rPr>
      </w:pPr>
    </w:p>
    <w:p>
      <w:pPr>
        <w:spacing w:before="156" w:beforeLines="50" w:after="156" w:afterLines="50" w:line="560" w:lineRule="exact"/>
        <w:jc w:val="center"/>
        <w:rPr>
          <w:b/>
          <w:sz w:val="32"/>
          <w:szCs w:val="32"/>
        </w:rPr>
      </w:pPr>
      <w:r>
        <w:rPr>
          <w:b/>
          <w:sz w:val="32"/>
          <w:szCs w:val="32"/>
        </w:rPr>
        <w:t>20</w:t>
      </w:r>
      <w:r>
        <w:rPr>
          <w:rFonts w:hint="eastAsia"/>
          <w:b/>
          <w:sz w:val="32"/>
          <w:szCs w:val="32"/>
        </w:rPr>
        <w:t>20</w:t>
      </w:r>
      <w:r>
        <w:rPr>
          <w:b/>
          <w:sz w:val="32"/>
          <w:szCs w:val="32"/>
        </w:rPr>
        <w:t>年</w:t>
      </w:r>
      <w:r>
        <w:rPr>
          <w:rFonts w:hint="eastAsia"/>
          <w:b/>
          <w:sz w:val="32"/>
          <w:szCs w:val="32"/>
        </w:rPr>
        <w:t>6</w:t>
      </w:r>
      <w:r>
        <w:rPr>
          <w:b/>
          <w:sz w:val="32"/>
          <w:szCs w:val="32"/>
        </w:rPr>
        <w:t>月</w:t>
      </w:r>
    </w:p>
    <w:p>
      <w:pPr>
        <w:jc w:val="center"/>
        <w:rPr>
          <w:rFonts w:cs="Arial" w:asciiTheme="minorEastAsia" w:hAnsiTheme="minorEastAsia" w:eastAsiaTheme="minorEastAsia"/>
          <w:b/>
          <w:sz w:val="44"/>
          <w:szCs w:val="44"/>
        </w:rPr>
      </w:pPr>
    </w:p>
    <w:p>
      <w:pPr>
        <w:jc w:val="center"/>
        <w:rPr>
          <w:rFonts w:cs="Arial" w:asciiTheme="minorEastAsia" w:hAnsiTheme="minorEastAsia" w:eastAsiaTheme="minorEastAsia"/>
          <w:b/>
          <w:sz w:val="44"/>
          <w:szCs w:val="44"/>
        </w:rPr>
      </w:pPr>
    </w:p>
    <w:p>
      <w:pPr>
        <w:jc w:val="center"/>
        <w:rPr>
          <w:rFonts w:cs="Arial" w:asciiTheme="minorEastAsia" w:hAnsiTheme="minorEastAsia" w:eastAsiaTheme="minorEastAsia"/>
          <w:b/>
          <w:sz w:val="44"/>
          <w:szCs w:val="44"/>
        </w:rPr>
      </w:pPr>
    </w:p>
    <w:p>
      <w:pPr>
        <w:jc w:val="center"/>
        <w:rPr>
          <w:rFonts w:cs="Arial" w:asciiTheme="minorEastAsia" w:hAnsiTheme="minorEastAsia" w:eastAsiaTheme="minorEastAsia"/>
          <w:b/>
          <w:sz w:val="44"/>
          <w:szCs w:val="44"/>
        </w:rPr>
      </w:pPr>
    </w:p>
    <w:p>
      <w:pPr>
        <w:jc w:val="center"/>
        <w:rPr>
          <w:rFonts w:cs="Arial" w:asciiTheme="minorEastAsia" w:hAnsiTheme="minorEastAsia" w:eastAsiaTheme="minorEastAsia"/>
          <w:b/>
          <w:sz w:val="44"/>
          <w:szCs w:val="44"/>
        </w:rPr>
      </w:pPr>
      <w:r>
        <w:rPr>
          <w:rFonts w:hint="eastAsia" w:cs="Arial" w:asciiTheme="minorEastAsia" w:hAnsiTheme="minorEastAsia" w:eastAsiaTheme="minorEastAsia"/>
          <w:b/>
          <w:sz w:val="44"/>
          <w:szCs w:val="44"/>
        </w:rPr>
        <w:t>2019年戒毒工作业务管理费</w:t>
      </w:r>
    </w:p>
    <w:p>
      <w:pPr>
        <w:jc w:val="center"/>
        <w:rPr>
          <w:rFonts w:cs="宋体" w:asciiTheme="minorEastAsia" w:hAnsiTheme="minorEastAsia" w:eastAsiaTheme="minorEastAsia"/>
          <w:b/>
          <w:sz w:val="44"/>
          <w:szCs w:val="44"/>
        </w:rPr>
      </w:pPr>
      <w:r>
        <w:rPr>
          <w:rFonts w:hint="eastAsia" w:cs="Arial" w:asciiTheme="minorEastAsia" w:hAnsiTheme="minorEastAsia" w:eastAsiaTheme="minorEastAsia"/>
          <w:b/>
          <w:sz w:val="44"/>
          <w:szCs w:val="44"/>
        </w:rPr>
        <w:t>绩效自评报告</w:t>
      </w:r>
    </w:p>
    <w:p>
      <w:pPr>
        <w:jc w:val="center"/>
        <w:rPr>
          <w:rFonts w:ascii="仿宋_GB2312"/>
          <w:sz w:val="28"/>
          <w:szCs w:val="28"/>
        </w:rPr>
      </w:pPr>
    </w:p>
    <w:p>
      <w:pPr>
        <w:spacing w:line="610" w:lineRule="exact"/>
        <w:ind w:firstLine="600" w:firstLineChars="200"/>
        <w:rPr>
          <w:rFonts w:ascii="黑体" w:hAnsi="黑体" w:eastAsia="黑体"/>
          <w:szCs w:val="30"/>
        </w:rPr>
      </w:pPr>
      <w:r>
        <w:rPr>
          <w:rFonts w:hint="eastAsia" w:ascii="黑体" w:hAnsi="黑体" w:eastAsia="黑体"/>
          <w:szCs w:val="30"/>
        </w:rPr>
        <w:t>一、基本情况</w:t>
      </w:r>
    </w:p>
    <w:p>
      <w:pPr>
        <w:spacing w:line="610" w:lineRule="exact"/>
        <w:ind w:firstLine="602" w:firstLineChars="200"/>
        <w:rPr>
          <w:rFonts w:ascii="楷体" w:hAnsi="楷体" w:eastAsia="楷体" w:cs="宋体"/>
          <w:b/>
          <w:szCs w:val="30"/>
        </w:rPr>
      </w:pPr>
      <w:r>
        <w:rPr>
          <w:rFonts w:hint="eastAsia" w:ascii="楷体" w:hAnsi="楷体" w:eastAsia="楷体" w:cs="宋体"/>
          <w:b/>
          <w:szCs w:val="30"/>
        </w:rPr>
        <w:t>（一）项目概况</w:t>
      </w:r>
    </w:p>
    <w:p>
      <w:pPr>
        <w:spacing w:line="610" w:lineRule="exact"/>
        <w:ind w:firstLine="600" w:firstLineChars="200"/>
        <w:rPr>
          <w:rFonts w:ascii="仿宋" w:hAnsi="仿宋" w:eastAsia="仿宋" w:cs="宋体"/>
          <w:szCs w:val="30"/>
        </w:rPr>
      </w:pPr>
      <w:r>
        <w:rPr>
          <w:rFonts w:hint="eastAsia" w:ascii="仿宋" w:hAnsi="仿宋" w:eastAsia="仿宋" w:cs="宋体"/>
          <w:szCs w:val="30"/>
        </w:rPr>
        <w:t>戒毒工作业务管理费是为了深入贯彻落实《中华人民共和国禁毒法》和《省人民政府办公厅关于进一步做好戒毒工作的意见》(鄂政办发[2009 ] 176号文件)等工作要求，更好履行省戒毒管理局全省戒毒工作业务管理职能，支持全省戒毒工作的改革创新发展，不断提高全省戒毒教育矫治质量，确保戒毒场所的持续安全稳定，</w:t>
      </w:r>
      <w:r>
        <w:rPr>
          <w:rFonts w:hint="eastAsia" w:ascii="仿宋" w:hAnsi="仿宋" w:eastAsia="仿宋" w:cs="仿宋_GB2312"/>
          <w:sz w:val="32"/>
          <w:szCs w:val="32"/>
        </w:rPr>
        <w:t>全面高质量地完成全省戒毒工作任务提供经费保障。</w:t>
      </w:r>
    </w:p>
    <w:p>
      <w:pPr>
        <w:spacing w:line="610" w:lineRule="exact"/>
        <w:ind w:firstLine="602" w:firstLineChars="200"/>
        <w:rPr>
          <w:rFonts w:ascii="楷体" w:hAnsi="楷体" w:eastAsia="楷体"/>
          <w:b/>
          <w:szCs w:val="30"/>
        </w:rPr>
      </w:pPr>
      <w:r>
        <w:rPr>
          <w:rFonts w:hint="eastAsia" w:ascii="楷体" w:hAnsi="楷体" w:eastAsia="楷体"/>
          <w:b/>
          <w:szCs w:val="30"/>
        </w:rPr>
        <w:t>（二）项目年度绩效目标</w:t>
      </w:r>
    </w:p>
    <w:p>
      <w:pPr>
        <w:ind w:firstLine="600" w:firstLineChars="200"/>
        <w:rPr>
          <w:rFonts w:ascii="仿宋" w:hAnsi="仿宋" w:eastAsia="仿宋"/>
          <w:szCs w:val="30"/>
        </w:rPr>
      </w:pPr>
      <w:r>
        <w:rPr>
          <w:rFonts w:hint="eastAsia" w:ascii="仿宋" w:hAnsi="仿宋" w:eastAsia="仿宋"/>
          <w:szCs w:val="30"/>
        </w:rPr>
        <w:t>充分发挥各部门职能作用，打造廉洁高效务实队伍，努力提升湖北戒毒工作科学化规范化水平，确保戒毒场所全年安全无事故。</w:t>
      </w:r>
    </w:p>
    <w:p>
      <w:pPr>
        <w:ind w:firstLine="602" w:firstLineChars="200"/>
        <w:rPr>
          <w:rFonts w:ascii="楷体" w:hAnsi="楷体" w:eastAsia="楷体" w:cs="黑体"/>
          <w:b/>
          <w:bCs/>
          <w:szCs w:val="30"/>
        </w:rPr>
      </w:pPr>
      <w:r>
        <w:rPr>
          <w:rFonts w:hint="eastAsia" w:ascii="楷体" w:hAnsi="楷体" w:eastAsia="楷体" w:cs="黑体"/>
          <w:b/>
          <w:bCs/>
          <w:szCs w:val="30"/>
        </w:rPr>
        <w:t>（三）年度项目资金的预算安排</w:t>
      </w:r>
    </w:p>
    <w:p>
      <w:pPr>
        <w:ind w:firstLine="602" w:firstLineChars="200"/>
        <w:rPr>
          <w:rFonts w:ascii="仿宋" w:hAnsi="仿宋" w:eastAsia="仿宋" w:cs="黑体"/>
          <w:b/>
          <w:bCs/>
          <w:szCs w:val="30"/>
        </w:rPr>
      </w:pPr>
      <w:r>
        <w:rPr>
          <w:rFonts w:hint="eastAsia" w:ascii="仿宋" w:hAnsi="仿宋" w:eastAsia="仿宋" w:cs="黑体"/>
          <w:b/>
          <w:bCs/>
          <w:szCs w:val="30"/>
        </w:rPr>
        <w:t>1、项目资金的结构与预算安排</w:t>
      </w:r>
    </w:p>
    <w:p>
      <w:pPr>
        <w:ind w:firstLine="600" w:firstLineChars="200"/>
        <w:rPr>
          <w:rFonts w:ascii="仿宋" w:hAnsi="仿宋" w:eastAsia="仿宋"/>
          <w:color w:val="000000"/>
        </w:rPr>
      </w:pPr>
      <w:r>
        <w:rPr>
          <w:rFonts w:hint="eastAsia" w:ascii="仿宋" w:hAnsi="仿宋" w:eastAsia="仿宋" w:cs="宋体"/>
          <w:szCs w:val="30"/>
        </w:rPr>
        <w:t>戒毒工作业务管理经费为2019年新增部门预算项目，经费来源财政预算拨款，年度资金预算安排为535万元。</w:t>
      </w:r>
    </w:p>
    <w:p>
      <w:pPr>
        <w:spacing w:line="610" w:lineRule="exact"/>
        <w:ind w:firstLine="602" w:firstLineChars="200"/>
        <w:rPr>
          <w:rFonts w:ascii="仿宋" w:hAnsi="仿宋" w:eastAsia="仿宋" w:cs="黑体"/>
          <w:b/>
          <w:bCs/>
          <w:szCs w:val="30"/>
        </w:rPr>
      </w:pPr>
      <w:r>
        <w:rPr>
          <w:rFonts w:hint="eastAsia" w:ascii="仿宋" w:hAnsi="仿宋" w:eastAsia="仿宋" w:cs="黑体"/>
          <w:b/>
          <w:bCs/>
          <w:szCs w:val="30"/>
        </w:rPr>
        <w:t>2、年度项目资金投向</w:t>
      </w:r>
    </w:p>
    <w:p>
      <w:pPr>
        <w:spacing w:line="360" w:lineRule="auto"/>
        <w:ind w:firstLine="600" w:firstLineChars="200"/>
        <w:rPr>
          <w:rFonts w:ascii="仿宋" w:hAnsi="仿宋" w:eastAsia="仿宋" w:cs="宋体"/>
          <w:szCs w:val="30"/>
        </w:rPr>
      </w:pPr>
      <w:r>
        <w:rPr>
          <w:rFonts w:hint="eastAsia" w:ascii="仿宋" w:hAnsi="仿宋" w:eastAsia="仿宋" w:cs="宋体"/>
          <w:szCs w:val="30"/>
        </w:rPr>
        <w:t>为全省戒毒工作业务管理提供经费保障，包括对“12348中国法网”采录的案例支付稿费、整理印制全省戒毒案例汇编制作光盘、省戒毒微信公众号运营费、全省戒毒系统舆情监测处置费、职能部门培训费、戒毒宣传资料印刷费、办公场所物业管理费、援疆差旅费等。</w:t>
      </w:r>
    </w:p>
    <w:p>
      <w:pPr>
        <w:ind w:firstLine="614" w:firstLineChars="192"/>
        <w:rPr>
          <w:rFonts w:ascii="楷体" w:hAnsi="楷体" w:eastAsia="楷体"/>
          <w:b/>
          <w:color w:val="000000"/>
          <w:szCs w:val="30"/>
        </w:rPr>
      </w:pPr>
      <w:r>
        <w:rPr>
          <w:rFonts w:hint="eastAsia" w:ascii="黑体" w:hAnsi="黑体" w:eastAsia="黑体"/>
          <w:color w:val="000000"/>
          <w:sz w:val="32"/>
          <w:szCs w:val="32"/>
        </w:rPr>
        <w:t>二、绩效自评工作开展情况</w:t>
      </w:r>
    </w:p>
    <w:p>
      <w:pPr>
        <w:spacing w:line="360" w:lineRule="auto"/>
        <w:ind w:firstLine="600"/>
        <w:rPr>
          <w:rFonts w:ascii="仿宋" w:hAnsi="仿宋" w:eastAsia="仿宋"/>
          <w:szCs w:val="30"/>
        </w:rPr>
      </w:pPr>
      <w:r>
        <w:rPr>
          <w:rFonts w:hint="eastAsia" w:ascii="楷体" w:hAnsi="楷体" w:eastAsia="楷体"/>
          <w:b/>
          <w:szCs w:val="30"/>
        </w:rPr>
        <w:t>（一）评价工作准备。</w:t>
      </w:r>
      <w:r>
        <w:rPr>
          <w:rFonts w:hint="eastAsia" w:ascii="仿宋" w:hAnsi="仿宋" w:eastAsia="仿宋"/>
          <w:color w:val="333333"/>
          <w:szCs w:val="30"/>
        </w:rPr>
        <w:t>根据</w:t>
      </w:r>
      <w:r>
        <w:rPr>
          <w:rFonts w:hint="eastAsia" w:ascii="仿宋" w:hAnsi="仿宋" w:eastAsia="仿宋"/>
          <w:szCs w:val="30"/>
        </w:rPr>
        <w:t>《省财政厅关于编制2019年度省直部门决算的通知》（鄂财函〔2019〕291号）文件要求，省戒毒局要求机关各部门及直属单位在认真做好2019年度决算工作的同时，对2019年度各部门绩效目标和工作任务的完成情况进行认真梳理、自我总结，对比考核，为做好年度绩效评价工作打下基础。</w:t>
      </w:r>
    </w:p>
    <w:p>
      <w:pPr>
        <w:ind w:firstLine="600"/>
        <w:rPr>
          <w:rFonts w:ascii="仿宋" w:hAnsi="仿宋" w:eastAsia="仿宋"/>
          <w:color w:val="000000"/>
          <w:szCs w:val="30"/>
        </w:rPr>
      </w:pPr>
      <w:r>
        <w:rPr>
          <w:rFonts w:hint="eastAsia" w:ascii="楷体" w:hAnsi="楷体" w:eastAsia="楷体"/>
          <w:b/>
          <w:szCs w:val="30"/>
        </w:rPr>
        <w:t>（二）评价工作的组织与开展。</w:t>
      </w:r>
      <w:r>
        <w:rPr>
          <w:rFonts w:hint="eastAsia" w:ascii="仿宋" w:hAnsi="仿宋" w:eastAsia="仿宋"/>
          <w:szCs w:val="30"/>
        </w:rPr>
        <w:t>按照预算绩效管理工作</w:t>
      </w:r>
      <w:r>
        <w:rPr>
          <w:rFonts w:hint="eastAsia" w:ascii="仿宋" w:hAnsi="仿宋" w:eastAsia="仿宋"/>
          <w:color w:val="000000"/>
          <w:szCs w:val="30"/>
        </w:rPr>
        <w:t>的要求，省戒毒局对所属预算部门下达了关于开展2019年财政支出绩效评价工作的通知，对搞好年度资金支出绩效评价工作进行了布置和安排，年度绩效自评工作由局计财处负责组织实施并开展工作，同时要求各相关职能部门和单位全面收集评价信息材料予以统计、整理，对照年初资金支出预定的绩效目标进行分析考核，完成绩效自评工作，并提交自评报告及材料。</w:t>
      </w:r>
    </w:p>
    <w:p>
      <w:pPr>
        <w:ind w:firstLine="600"/>
        <w:rPr>
          <w:rFonts w:ascii="仿宋" w:hAnsi="仿宋" w:eastAsia="仿宋"/>
          <w:color w:val="000000"/>
          <w:szCs w:val="30"/>
        </w:rPr>
      </w:pPr>
      <w:r>
        <w:rPr>
          <w:rFonts w:hint="eastAsia" w:ascii="楷体" w:hAnsi="楷体" w:eastAsia="楷体"/>
          <w:b/>
          <w:color w:val="000000"/>
          <w:szCs w:val="30"/>
        </w:rPr>
        <w:t>（三）自评报告的完成与提交。</w:t>
      </w:r>
      <w:r>
        <w:rPr>
          <w:rFonts w:hint="eastAsia" w:ascii="仿宋" w:hAnsi="仿宋" w:eastAsia="仿宋"/>
          <w:color w:val="000000"/>
          <w:szCs w:val="30"/>
        </w:rPr>
        <w:t>局计财处对年度项目经费支出的预算执行、绩效目标的完成等情况进行综合考核，完成对年度专项经费支出绩效指标完成情况的分析评价，得出评价结论，并撰写专项经费绩效自评报告，将评价结果汇报局领导，经论证审核后在规定的时间内提交主管部门及省财政厅。</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三、绩效目标完成情况分析</w:t>
      </w:r>
    </w:p>
    <w:p>
      <w:pPr>
        <w:spacing w:line="360" w:lineRule="auto"/>
        <w:ind w:firstLine="600" w:firstLineChars="200"/>
        <w:rPr>
          <w:rFonts w:ascii="仿宋" w:hAnsi="仿宋" w:eastAsia="仿宋" w:cs="黑体"/>
          <w:bCs/>
          <w:szCs w:val="30"/>
        </w:rPr>
      </w:pPr>
      <w:r>
        <w:rPr>
          <w:rFonts w:hint="eastAsia" w:ascii="仿宋" w:hAnsi="仿宋" w:eastAsia="仿宋"/>
        </w:rPr>
        <w:t>根据</w:t>
      </w:r>
      <w:r>
        <w:rPr>
          <w:rFonts w:hint="eastAsia" w:ascii="仿宋" w:hAnsi="仿宋" w:eastAsia="仿宋"/>
          <w:color w:val="000000"/>
        </w:rPr>
        <w:t>财政支出绩效评价工作相关要求，我们对项目支出的绩效采取评价打分的方式，设定基础总分值为100分，其中资金执行情况为20分，绩效产出与效益80分。细分指标权重根据各指标的重要性分别设定分值，具体详见年度项目绩效自评表。</w:t>
      </w:r>
    </w:p>
    <w:p>
      <w:pPr>
        <w:spacing w:line="610" w:lineRule="exact"/>
        <w:ind w:firstLine="602" w:firstLineChars="200"/>
        <w:outlineLvl w:val="0"/>
        <w:rPr>
          <w:rFonts w:ascii="楷体" w:hAnsi="楷体" w:eastAsia="楷体" w:cs="楷体_GB2312"/>
          <w:b/>
          <w:bCs/>
          <w:szCs w:val="30"/>
        </w:rPr>
      </w:pPr>
      <w:r>
        <w:rPr>
          <w:rFonts w:hint="eastAsia" w:ascii="楷体" w:hAnsi="楷体" w:eastAsia="楷体" w:cs="楷体_GB2312"/>
          <w:b/>
          <w:bCs/>
          <w:szCs w:val="30"/>
        </w:rPr>
        <w:t>（一）资金投入情况分析（标准分值20分）</w:t>
      </w:r>
    </w:p>
    <w:p>
      <w:pPr>
        <w:spacing w:line="610" w:lineRule="exact"/>
        <w:ind w:firstLine="602" w:firstLineChars="200"/>
        <w:rPr>
          <w:rFonts w:ascii="仿宋" w:hAnsi="仿宋" w:eastAsia="仿宋"/>
          <w:kern w:val="0"/>
          <w:szCs w:val="30"/>
        </w:rPr>
      </w:pPr>
      <w:r>
        <w:rPr>
          <w:rFonts w:hint="eastAsia" w:ascii="仿宋" w:hAnsi="仿宋" w:eastAsia="仿宋"/>
          <w:b/>
          <w:kern w:val="0"/>
          <w:szCs w:val="30"/>
        </w:rPr>
        <w:t>1、项目资金到位情况分析</w:t>
      </w:r>
    </w:p>
    <w:p>
      <w:pPr>
        <w:spacing w:line="610" w:lineRule="exact"/>
        <w:ind w:firstLine="600" w:firstLineChars="200"/>
        <w:rPr>
          <w:rFonts w:ascii="仿宋" w:hAnsi="仿宋" w:eastAsia="仿宋"/>
          <w:kern w:val="0"/>
          <w:szCs w:val="30"/>
        </w:rPr>
      </w:pPr>
      <w:r>
        <w:rPr>
          <w:rFonts w:hint="eastAsia" w:ascii="仿宋" w:hAnsi="仿宋" w:eastAsia="仿宋" w:cs="宋体"/>
          <w:kern w:val="0"/>
          <w:szCs w:val="30"/>
        </w:rPr>
        <w:t>年度戒毒工作业务管理费预算额535万元，资金全部到位，资金到位率100%，保障了年度工作业务的顺利开展。</w:t>
      </w:r>
    </w:p>
    <w:p>
      <w:pPr>
        <w:spacing w:line="610" w:lineRule="exact"/>
        <w:ind w:firstLine="602" w:firstLineChars="200"/>
        <w:rPr>
          <w:rFonts w:ascii="仿宋" w:hAnsi="仿宋" w:eastAsia="仿宋"/>
          <w:b/>
          <w:kern w:val="0"/>
          <w:szCs w:val="30"/>
        </w:rPr>
      </w:pPr>
      <w:r>
        <w:rPr>
          <w:rFonts w:hint="eastAsia" w:ascii="仿宋" w:hAnsi="仿宋" w:eastAsia="仿宋"/>
          <w:b/>
          <w:kern w:val="0"/>
          <w:szCs w:val="30"/>
        </w:rPr>
        <w:t>2、项目资金执行情况分析</w:t>
      </w:r>
    </w:p>
    <w:p>
      <w:pPr>
        <w:spacing w:line="360" w:lineRule="auto"/>
        <w:ind w:firstLine="600" w:firstLineChars="200"/>
        <w:rPr>
          <w:rFonts w:ascii="仿宋" w:hAnsi="仿宋" w:eastAsia="仿宋" w:cs="宋体"/>
          <w:kern w:val="0"/>
          <w:szCs w:val="30"/>
        </w:rPr>
      </w:pPr>
      <w:r>
        <w:rPr>
          <w:rFonts w:hint="eastAsia" w:ascii="仿宋" w:hAnsi="仿宋" w:eastAsia="仿宋" w:cs="宋体"/>
          <w:kern w:val="0"/>
          <w:szCs w:val="30"/>
        </w:rPr>
        <w:t>年度戒毒工作业务管理费预算额535万元，年度实际执行470.59万元，未执行金额64.41万元，执行率87.96%，执行率不高。造成经费预算执行差异主要原因：年度预算支出委托业务费70万元，其中纪检部门将委托专业机构对省直戒毒系统及局本级进行基建工程、信息化建设项目、经济责任审计等工作购买审计服务，预算支出55万，年度未实施；其他支出内容在预算总额内有所调剂使用。</w:t>
      </w:r>
    </w:p>
    <w:p>
      <w:pPr>
        <w:spacing w:line="610" w:lineRule="exact"/>
        <w:ind w:firstLine="602" w:firstLineChars="200"/>
        <w:rPr>
          <w:rFonts w:ascii="仿宋" w:hAnsi="仿宋" w:eastAsia="仿宋"/>
          <w:b/>
          <w:kern w:val="0"/>
          <w:szCs w:val="30"/>
        </w:rPr>
      </w:pPr>
      <w:r>
        <w:rPr>
          <w:rFonts w:hint="eastAsia" w:ascii="仿宋" w:hAnsi="仿宋" w:eastAsia="仿宋"/>
          <w:b/>
          <w:kern w:val="0"/>
          <w:szCs w:val="30"/>
        </w:rPr>
        <w:t>3、项目资金管理情况分析</w:t>
      </w:r>
    </w:p>
    <w:p>
      <w:pPr>
        <w:spacing w:line="360" w:lineRule="auto"/>
        <w:ind w:firstLine="600" w:firstLineChars="200"/>
        <w:rPr>
          <w:rFonts w:ascii="仿宋" w:hAnsi="仿宋" w:eastAsia="仿宋" w:cs="黑体"/>
          <w:bCs/>
          <w:szCs w:val="30"/>
        </w:rPr>
      </w:pPr>
      <w:r>
        <w:rPr>
          <w:rFonts w:hint="eastAsia" w:ascii="仿宋" w:hAnsi="仿宋" w:eastAsia="仿宋" w:cs="宋体"/>
          <w:kern w:val="0"/>
          <w:szCs w:val="30"/>
        </w:rPr>
        <w:t>项目资金由局计财处负责统一管理，资金的使用严格按照国家财政法律法规执行，专款专用；每笔资金的支付均对应预算的支出科目和用途，管理规范，同时计财处定期下发资金执行情况，跟踪监管资金使用情况，</w:t>
      </w:r>
      <w:r>
        <w:rPr>
          <w:rFonts w:hint="eastAsia" w:ascii="仿宋" w:hAnsi="仿宋" w:eastAsia="仿宋" w:cs="黑体"/>
          <w:bCs/>
          <w:szCs w:val="30"/>
        </w:rPr>
        <w:t>充分发挥资金支出的有效性，保障了年度业务工作的开展及工作目标的圆满完成。</w:t>
      </w:r>
    </w:p>
    <w:p>
      <w:pPr>
        <w:ind w:firstLine="600" w:firstLineChars="200"/>
        <w:rPr>
          <w:rFonts w:ascii="楷体" w:hAnsi="楷体" w:eastAsia="楷体" w:cs="黑体"/>
          <w:bCs/>
          <w:szCs w:val="30"/>
        </w:rPr>
      </w:pPr>
      <w:r>
        <w:rPr>
          <w:rFonts w:hint="eastAsia" w:ascii="楷体" w:hAnsi="楷体" w:eastAsia="楷体" w:cs="黑体"/>
          <w:bCs/>
          <w:szCs w:val="30"/>
        </w:rPr>
        <w:t>指标自评得分：根据年度绩效自评评分有关规定，年度项目资金预算执行指标自评得分为17.59分（执行率87.96%*20分）。</w:t>
      </w:r>
    </w:p>
    <w:p>
      <w:pPr>
        <w:spacing w:line="360" w:lineRule="auto"/>
        <w:ind w:firstLine="602" w:firstLineChars="200"/>
        <w:outlineLvl w:val="0"/>
        <w:rPr>
          <w:rFonts w:ascii="楷体_GB2312" w:hAnsi="楷体_GB2312" w:eastAsia="楷体_GB2312" w:cs="楷体_GB2312"/>
          <w:bCs/>
          <w:sz w:val="32"/>
          <w:szCs w:val="32"/>
        </w:rPr>
      </w:pPr>
      <w:r>
        <w:rPr>
          <w:rFonts w:hint="eastAsia" w:ascii="楷体" w:hAnsi="楷体" w:eastAsia="楷体" w:cs="楷体_GB2312"/>
          <w:b/>
          <w:bCs/>
          <w:szCs w:val="30"/>
        </w:rPr>
        <w:t>（二）绩效目标完成情况分析（标准分值80分）</w:t>
      </w:r>
    </w:p>
    <w:p>
      <w:pPr>
        <w:spacing w:line="640" w:lineRule="exact"/>
        <w:ind w:firstLine="602" w:firstLineChars="200"/>
        <w:rPr>
          <w:rFonts w:ascii="仿宋" w:hAnsi="仿宋" w:eastAsia="仿宋"/>
          <w:b/>
          <w:szCs w:val="30"/>
        </w:rPr>
      </w:pPr>
      <w:r>
        <w:rPr>
          <w:rFonts w:hint="eastAsia" w:ascii="仿宋" w:hAnsi="仿宋" w:eastAsia="仿宋"/>
          <w:b/>
          <w:szCs w:val="30"/>
        </w:rPr>
        <w:t>1、年度戒毒工作业务管理绩效目标圆满完成。</w:t>
      </w:r>
    </w:p>
    <w:p>
      <w:pPr>
        <w:spacing w:line="640" w:lineRule="exact"/>
        <w:ind w:firstLine="600" w:firstLineChars="200"/>
        <w:rPr>
          <w:rFonts w:ascii="仿宋" w:hAnsi="仿宋" w:eastAsia="仿宋"/>
          <w:szCs w:val="30"/>
        </w:rPr>
      </w:pPr>
      <w:r>
        <w:rPr>
          <w:rFonts w:hint="eastAsia" w:ascii="仿宋" w:hAnsi="仿宋" w:eastAsia="仿宋"/>
          <w:szCs w:val="30"/>
        </w:rPr>
        <w:t>一是打造廉洁高效的务实队伍，业务工作管理科学化规范化不断提高。2019年，围绕打造“六型场所”目标任务，局各单位各部门开展“不忘初心、牢记使命”主题教育，不断夯实基层党建基础；完善提醒教育、警示教育、风险防控、廉政宣教四项机制，强化正风肃纪；开展“四项整治”，强化问题整改，队伍纪律作风持续强化；强化队伍“四化”建设，扎实开展业务培训，深化岗位练兵，严格科学规范各类执法管理。</w:t>
      </w:r>
    </w:p>
    <w:p>
      <w:pPr>
        <w:spacing w:line="640" w:lineRule="exact"/>
        <w:ind w:firstLine="600" w:firstLineChars="200"/>
        <w:rPr>
          <w:rFonts w:ascii="仿宋" w:hAnsi="仿宋" w:eastAsia="仿宋"/>
          <w:szCs w:val="30"/>
        </w:rPr>
      </w:pPr>
      <w:r>
        <w:rPr>
          <w:rFonts w:hint="eastAsia" w:ascii="仿宋" w:hAnsi="仿宋" w:eastAsia="仿宋"/>
          <w:szCs w:val="30"/>
        </w:rPr>
        <w:t>二是实现场所安全持续稳定。全年打赢“四场硬仗”活动，扎实开展“双迎双保”专项活动，推进落实驻在式、推磨式安全</w:t>
      </w:r>
      <w:bookmarkStart w:id="0" w:name="_GoBack"/>
      <w:bookmarkEnd w:id="0"/>
      <w:r>
        <w:rPr>
          <w:rFonts w:hint="eastAsia" w:ascii="仿宋" w:hAnsi="仿宋" w:eastAsia="仿宋"/>
          <w:szCs w:val="30"/>
        </w:rPr>
        <w:t>检查，加强重点单位和突出问题的点名通报、挂牌督办，规范戒毒执法工作各项环节，确保了场所秩序持续安全稳定，连续5年实现“六无”安全目标，得到司法部检查组的充分肯定。</w:t>
      </w:r>
    </w:p>
    <w:p>
      <w:pPr>
        <w:spacing w:line="640" w:lineRule="exact"/>
        <w:ind w:firstLine="600" w:firstLineChars="200"/>
        <w:rPr>
          <w:rFonts w:ascii="仿宋" w:hAnsi="仿宋" w:eastAsia="仿宋"/>
          <w:szCs w:val="30"/>
        </w:rPr>
      </w:pPr>
      <w:r>
        <w:rPr>
          <w:rFonts w:hint="eastAsia" w:ascii="仿宋" w:hAnsi="仿宋" w:eastAsia="仿宋"/>
          <w:szCs w:val="30"/>
        </w:rPr>
        <w:t>三是</w:t>
      </w:r>
      <w:r>
        <w:rPr>
          <w:rFonts w:hint="eastAsia" w:ascii="仿宋" w:hAnsi="仿宋" w:eastAsia="仿宋" w:cs="仿宋"/>
          <w:szCs w:val="30"/>
        </w:rPr>
        <w:t>戒毒人员分流调遣工作安全有序。局调遣支队很抓戒毒人员分流调遣工作保障措施，将戒毒人员分流调遣工作责任到人，工作程序细化到每一个环节,工作行动细化到每一个细节，确保调遣行动安全有序。截止2019年12月底，共组织调遣34次，分流戒毒人员1322人，没有发生一起安全事故。</w:t>
      </w:r>
    </w:p>
    <w:p>
      <w:pPr>
        <w:spacing w:line="610" w:lineRule="exact"/>
        <w:ind w:firstLine="602" w:firstLineChars="200"/>
        <w:rPr>
          <w:rFonts w:ascii="仿宋" w:hAnsi="仿宋" w:eastAsia="仿宋"/>
          <w:b/>
          <w:szCs w:val="30"/>
        </w:rPr>
      </w:pPr>
      <w:r>
        <w:rPr>
          <w:rFonts w:hint="eastAsia" w:ascii="仿宋" w:hAnsi="仿宋" w:eastAsia="仿宋"/>
          <w:b/>
          <w:szCs w:val="30"/>
        </w:rPr>
        <w:t>2、产出指标完成结果达到预期。</w:t>
      </w:r>
    </w:p>
    <w:p>
      <w:pPr>
        <w:ind w:firstLine="594" w:firstLineChars="198"/>
        <w:rPr>
          <w:rFonts w:ascii="仿宋" w:hAnsi="仿宋" w:eastAsia="仿宋"/>
          <w:szCs w:val="32"/>
        </w:rPr>
      </w:pPr>
      <w:r>
        <w:rPr>
          <w:rFonts w:hint="eastAsia" w:ascii="仿宋" w:hAnsi="仿宋" w:eastAsia="仿宋"/>
          <w:szCs w:val="32"/>
        </w:rPr>
        <w:t>年初绩效产出指标设定三个具体指标，对照目标设定情况全部完成。</w:t>
      </w:r>
      <w:r>
        <w:rPr>
          <w:rFonts w:hint="eastAsia" w:ascii="仿宋" w:hAnsi="仿宋" w:eastAsia="仿宋" w:cs="宋体"/>
          <w:szCs w:val="30"/>
        </w:rPr>
        <w:t>具体指标完成情况如下：</w:t>
      </w:r>
      <w:r>
        <w:rPr>
          <w:rFonts w:ascii="仿宋" w:hAnsi="仿宋" w:eastAsia="仿宋"/>
          <w:szCs w:val="30"/>
        </w:rPr>
        <w:t xml:space="preserve"> </w:t>
      </w:r>
    </w:p>
    <w:p>
      <w:pPr>
        <w:rPr>
          <w:rFonts w:ascii="仿宋" w:hAnsi="仿宋" w:eastAsia="仿宋"/>
          <w:sz w:val="10"/>
          <w:szCs w:val="10"/>
        </w:rPr>
      </w:pPr>
    </w:p>
    <w:tbl>
      <w:tblPr>
        <w:tblStyle w:val="5"/>
        <w:tblW w:w="8440" w:type="dxa"/>
        <w:tblInd w:w="93" w:type="dxa"/>
        <w:tblLayout w:type="autofit"/>
        <w:tblCellMar>
          <w:top w:w="0" w:type="dxa"/>
          <w:left w:w="108" w:type="dxa"/>
          <w:bottom w:w="0" w:type="dxa"/>
          <w:right w:w="108" w:type="dxa"/>
        </w:tblCellMar>
      </w:tblPr>
      <w:tblGrid>
        <w:gridCol w:w="920"/>
        <w:gridCol w:w="1100"/>
        <w:gridCol w:w="2480"/>
        <w:gridCol w:w="1120"/>
        <w:gridCol w:w="1058"/>
        <w:gridCol w:w="850"/>
        <w:gridCol w:w="912"/>
      </w:tblGrid>
      <w:tr>
        <w:trPr>
          <w:trHeight w:val="540"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一级指标</w:t>
            </w:r>
          </w:p>
        </w:tc>
        <w:tc>
          <w:tcPr>
            <w:tcW w:w="110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二级指标</w:t>
            </w:r>
          </w:p>
        </w:tc>
        <w:tc>
          <w:tcPr>
            <w:tcW w:w="24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三级指标</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年初目标值（A)</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实际完成值（B）</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标准分值</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得分</w:t>
            </w:r>
          </w:p>
        </w:tc>
      </w:tr>
      <w:tr>
        <w:tblPrEx>
          <w:tblCellMar>
            <w:top w:w="0" w:type="dxa"/>
            <w:left w:w="108" w:type="dxa"/>
            <w:bottom w:w="0" w:type="dxa"/>
            <w:right w:w="108" w:type="dxa"/>
          </w:tblCellMar>
        </w:tblPrEx>
        <w:trPr>
          <w:trHeight w:val="540" w:hRule="atLeast"/>
        </w:trPr>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产出指标（80分）</w:t>
            </w:r>
          </w:p>
        </w:tc>
        <w:tc>
          <w:tcPr>
            <w:tcW w:w="110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质量指标</w:t>
            </w:r>
          </w:p>
        </w:tc>
        <w:tc>
          <w:tcPr>
            <w:tcW w:w="2480" w:type="dxa"/>
            <w:tcBorders>
              <w:top w:val="single" w:color="auto" w:sz="4" w:space="0"/>
              <w:left w:val="nil"/>
              <w:bottom w:val="single" w:color="auto"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干警廉洁履职能力考评</w:t>
            </w:r>
          </w:p>
        </w:tc>
        <w:tc>
          <w:tcPr>
            <w:tcW w:w="11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85%以上</w:t>
            </w:r>
          </w:p>
        </w:tc>
        <w:tc>
          <w:tcPr>
            <w:tcW w:w="1058"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完成</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91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r>
      <w:tr>
        <w:tblPrEx>
          <w:tblCellMar>
            <w:top w:w="0" w:type="dxa"/>
            <w:left w:w="108" w:type="dxa"/>
            <w:bottom w:w="0" w:type="dxa"/>
            <w:right w:w="108" w:type="dxa"/>
          </w:tblCellMar>
        </w:tblPrEx>
        <w:trPr>
          <w:trHeight w:val="54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0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质量指标</w:t>
            </w:r>
          </w:p>
        </w:tc>
        <w:tc>
          <w:tcPr>
            <w:tcW w:w="2480" w:type="dxa"/>
            <w:tcBorders>
              <w:top w:val="single" w:color="auto" w:sz="4" w:space="0"/>
              <w:left w:val="nil"/>
              <w:bottom w:val="single" w:color="auto"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调遣规范安全</w:t>
            </w:r>
          </w:p>
        </w:tc>
        <w:tc>
          <w:tcPr>
            <w:tcW w:w="112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105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完成</w:t>
            </w:r>
          </w:p>
        </w:tc>
        <w:tc>
          <w:tcPr>
            <w:tcW w:w="85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9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r>
      <w:tr>
        <w:tblPrEx>
          <w:tblCellMar>
            <w:top w:w="0" w:type="dxa"/>
            <w:left w:w="108" w:type="dxa"/>
            <w:bottom w:w="0" w:type="dxa"/>
            <w:right w:w="108" w:type="dxa"/>
          </w:tblCellMar>
        </w:tblPrEx>
        <w:trPr>
          <w:trHeight w:val="54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0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质量指标</w:t>
            </w:r>
          </w:p>
        </w:tc>
        <w:tc>
          <w:tcPr>
            <w:tcW w:w="2480" w:type="dxa"/>
            <w:tcBorders>
              <w:top w:val="single" w:color="auto" w:sz="4" w:space="0"/>
              <w:left w:val="nil"/>
              <w:bottom w:val="single" w:color="auto"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处突及应急能力</w:t>
            </w:r>
          </w:p>
        </w:tc>
        <w:tc>
          <w:tcPr>
            <w:tcW w:w="112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85%以上</w:t>
            </w:r>
          </w:p>
        </w:tc>
        <w:tc>
          <w:tcPr>
            <w:tcW w:w="105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完成</w:t>
            </w:r>
          </w:p>
        </w:tc>
        <w:tc>
          <w:tcPr>
            <w:tcW w:w="85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9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r>
    </w:tbl>
    <w:p>
      <w:pPr>
        <w:rPr>
          <w:rFonts w:ascii="仿宋" w:hAnsi="仿宋" w:eastAsia="仿宋"/>
          <w:b/>
          <w:sz w:val="10"/>
          <w:szCs w:val="10"/>
        </w:rPr>
      </w:pPr>
    </w:p>
    <w:p>
      <w:pPr>
        <w:ind w:firstLine="600" w:firstLineChars="200"/>
        <w:rPr>
          <w:rFonts w:ascii="楷体" w:hAnsi="楷体" w:eastAsia="楷体" w:cs="黑体"/>
          <w:bCs/>
          <w:szCs w:val="30"/>
        </w:rPr>
      </w:pPr>
      <w:r>
        <w:rPr>
          <w:rFonts w:hint="eastAsia" w:ascii="楷体" w:hAnsi="楷体" w:eastAsia="楷体"/>
          <w:szCs w:val="32"/>
        </w:rPr>
        <w:t>指标评价得分：</w:t>
      </w:r>
      <w:r>
        <w:rPr>
          <w:rFonts w:hint="eastAsia" w:ascii="楷体" w:hAnsi="楷体" w:eastAsia="楷体" w:cs="黑体"/>
          <w:bCs/>
          <w:szCs w:val="30"/>
        </w:rPr>
        <w:t>根据年度绩效目标及指标的完成情况分析，年度项目产出指标自评得分为80分。</w:t>
      </w:r>
    </w:p>
    <w:p>
      <w:pPr>
        <w:spacing w:line="360" w:lineRule="auto"/>
        <w:ind w:firstLine="600"/>
        <w:rPr>
          <w:rFonts w:ascii="仿宋" w:hAnsi="仿宋" w:eastAsia="仿宋"/>
          <w:b/>
          <w:szCs w:val="30"/>
        </w:rPr>
      </w:pPr>
      <w:r>
        <w:rPr>
          <w:rFonts w:hint="eastAsia" w:ascii="黑体" w:hAnsi="黑体" w:eastAsia="黑体" w:cs="黑体"/>
          <w:sz w:val="32"/>
          <w:szCs w:val="32"/>
        </w:rPr>
        <w:t>四、绩效自评得分情况及绩效等级</w:t>
      </w:r>
    </w:p>
    <w:p>
      <w:pPr>
        <w:spacing w:line="360" w:lineRule="auto"/>
        <w:ind w:firstLine="600"/>
        <w:rPr>
          <w:rFonts w:ascii="仿宋" w:hAnsi="仿宋" w:eastAsia="仿宋"/>
          <w:b/>
          <w:szCs w:val="30"/>
        </w:rPr>
      </w:pPr>
      <w:r>
        <w:rPr>
          <w:rFonts w:ascii="仿宋" w:hAnsi="仿宋" w:eastAsia="仿宋"/>
          <w:szCs w:val="30"/>
        </w:rPr>
        <w:t>根据</w:t>
      </w:r>
      <w:r>
        <w:rPr>
          <w:rFonts w:hint="eastAsia" w:ascii="仿宋" w:hAnsi="仿宋" w:eastAsia="仿宋"/>
          <w:color w:val="000000"/>
          <w:szCs w:val="30"/>
        </w:rPr>
        <w:t>省财政厅关于开展财政支出绩效自评工作相关</w:t>
      </w:r>
      <w:r>
        <w:rPr>
          <w:rFonts w:ascii="仿宋" w:hAnsi="仿宋" w:eastAsia="仿宋"/>
          <w:szCs w:val="30"/>
        </w:rPr>
        <w:t>要求，</w:t>
      </w:r>
      <w:r>
        <w:rPr>
          <w:rFonts w:hint="eastAsia" w:ascii="仿宋" w:hAnsi="仿宋" w:eastAsia="仿宋" w:cs="宋体"/>
          <w:kern w:val="0"/>
          <w:szCs w:val="30"/>
        </w:rPr>
        <w:t>2019年戒毒工作业务管理经费</w:t>
      </w:r>
      <w:r>
        <w:rPr>
          <w:rFonts w:ascii="仿宋" w:hAnsi="仿宋" w:eastAsia="仿宋" w:cs="宋体"/>
          <w:kern w:val="0"/>
          <w:szCs w:val="30"/>
        </w:rPr>
        <w:t>绩效</w:t>
      </w:r>
      <w:r>
        <w:rPr>
          <w:rFonts w:hint="eastAsia" w:ascii="仿宋" w:hAnsi="仿宋" w:eastAsia="仿宋" w:cs="宋体"/>
          <w:kern w:val="0"/>
          <w:szCs w:val="30"/>
        </w:rPr>
        <w:t>自评</w:t>
      </w:r>
      <w:r>
        <w:rPr>
          <w:rFonts w:ascii="仿宋" w:hAnsi="仿宋" w:eastAsia="仿宋" w:cs="宋体"/>
          <w:kern w:val="0"/>
          <w:szCs w:val="30"/>
        </w:rPr>
        <w:t>得分为</w:t>
      </w:r>
      <w:r>
        <w:rPr>
          <w:rFonts w:hint="eastAsia" w:ascii="仿宋" w:hAnsi="仿宋" w:eastAsia="仿宋" w:cs="宋体"/>
          <w:kern w:val="0"/>
          <w:szCs w:val="30"/>
        </w:rPr>
        <w:t>97.59</w:t>
      </w:r>
      <w:r>
        <w:rPr>
          <w:rFonts w:ascii="仿宋" w:hAnsi="仿宋" w:eastAsia="仿宋" w:cs="宋体"/>
          <w:kern w:val="0"/>
          <w:szCs w:val="30"/>
        </w:rPr>
        <w:t>分，</w:t>
      </w:r>
      <w:r>
        <w:rPr>
          <w:rFonts w:hint="eastAsia" w:ascii="仿宋" w:hAnsi="仿宋" w:eastAsia="仿宋" w:cs="宋体"/>
          <w:kern w:val="0"/>
          <w:szCs w:val="30"/>
        </w:rPr>
        <w:t>其中支出预算执行17.59分、绩效产出指标完成80分。</w:t>
      </w:r>
      <w:r>
        <w:rPr>
          <w:rFonts w:ascii="仿宋" w:hAnsi="仿宋" w:eastAsia="仿宋" w:cs="宋体"/>
          <w:kern w:val="0"/>
          <w:szCs w:val="30"/>
        </w:rPr>
        <w:t>绩效等级为</w:t>
      </w:r>
      <w:r>
        <w:rPr>
          <w:rFonts w:hint="eastAsia" w:ascii="仿宋" w:hAnsi="仿宋" w:eastAsia="仿宋" w:cs="宋体"/>
          <w:kern w:val="0"/>
          <w:szCs w:val="30"/>
        </w:rPr>
        <w:t>“优”</w:t>
      </w:r>
      <w:r>
        <w:rPr>
          <w:rFonts w:ascii="仿宋" w:hAnsi="仿宋" w:eastAsia="仿宋" w:cs="宋体"/>
          <w:kern w:val="0"/>
          <w:szCs w:val="30"/>
        </w:rPr>
        <w:t>。</w:t>
      </w:r>
    </w:p>
    <w:p>
      <w:pPr>
        <w:spacing w:line="360" w:lineRule="auto"/>
        <w:ind w:firstLine="600"/>
        <w:rPr>
          <w:rFonts w:ascii="黑体" w:hAnsi="黑体" w:eastAsia="黑体" w:cs="黑体"/>
          <w:sz w:val="32"/>
          <w:szCs w:val="32"/>
        </w:rPr>
      </w:pPr>
      <w:r>
        <w:rPr>
          <w:rFonts w:hint="eastAsia" w:ascii="黑体" w:hAnsi="黑体" w:eastAsia="黑体" w:cs="黑体"/>
          <w:sz w:val="32"/>
          <w:szCs w:val="32"/>
        </w:rPr>
        <w:t>五、绩效自评结果拟应用情况</w:t>
      </w:r>
    </w:p>
    <w:p>
      <w:pPr>
        <w:spacing w:line="360" w:lineRule="auto"/>
        <w:ind w:firstLine="600"/>
        <w:rPr>
          <w:rFonts w:ascii="黑体" w:hAnsi="黑体" w:eastAsia="黑体" w:cs="黑体"/>
          <w:szCs w:val="30"/>
        </w:rPr>
      </w:pPr>
      <w:r>
        <w:rPr>
          <w:rFonts w:hint="eastAsia" w:ascii="楷体" w:hAnsi="楷体" w:eastAsia="楷体"/>
          <w:b/>
          <w:bCs/>
          <w:szCs w:val="30"/>
        </w:rPr>
        <w:t>（一）下一步改进举措</w:t>
      </w:r>
    </w:p>
    <w:p>
      <w:pPr>
        <w:spacing w:line="360" w:lineRule="auto"/>
        <w:ind w:firstLine="602" w:firstLineChars="200"/>
        <w:rPr>
          <w:rFonts w:ascii="仿宋" w:hAnsi="仿宋" w:eastAsia="仿宋" w:cs="宋体"/>
          <w:szCs w:val="30"/>
        </w:rPr>
      </w:pPr>
      <w:r>
        <w:rPr>
          <w:rFonts w:hint="eastAsia" w:ascii="仿宋" w:hAnsi="仿宋" w:eastAsia="仿宋" w:cs="宋体"/>
          <w:b/>
          <w:bCs/>
          <w:szCs w:val="30"/>
        </w:rPr>
        <w:t>1、加强经费预算编制精细化管理，提高资金的执行率。</w:t>
      </w:r>
      <w:r>
        <w:rPr>
          <w:rFonts w:hint="eastAsia" w:ascii="仿宋" w:hAnsi="仿宋" w:eastAsia="仿宋" w:cs="宋体"/>
          <w:bCs/>
          <w:szCs w:val="30"/>
        </w:rPr>
        <w:t>本年度项目经费支出预算编制准确性不够，年度项目经费预算执行率不高。下一年度经费预算编制工作，我们将以工作目标与工作计划为指引，以本次自评结果为导向，进一步地明确经费支出内容，合理精确地编制项目经费支出预算，</w:t>
      </w:r>
      <w:r>
        <w:rPr>
          <w:rFonts w:hint="eastAsia" w:ascii="仿宋" w:hAnsi="仿宋" w:eastAsia="仿宋" w:cs="宋体"/>
          <w:szCs w:val="30"/>
        </w:rPr>
        <w:t>提高预算支出执行准确性和执行率。</w:t>
      </w:r>
    </w:p>
    <w:p>
      <w:pPr>
        <w:spacing w:line="360" w:lineRule="auto"/>
        <w:ind w:firstLine="596" w:firstLineChars="198"/>
        <w:rPr>
          <w:rFonts w:ascii="仿宋" w:hAnsi="仿宋" w:eastAsia="仿宋"/>
          <w:szCs w:val="30"/>
        </w:rPr>
      </w:pPr>
      <w:r>
        <w:rPr>
          <w:rFonts w:hint="eastAsia" w:ascii="仿宋" w:hAnsi="仿宋" w:eastAsia="仿宋"/>
          <w:b/>
          <w:szCs w:val="30"/>
        </w:rPr>
        <w:t>2、</w:t>
      </w:r>
      <w:r>
        <w:rPr>
          <w:rFonts w:hint="eastAsia" w:ascii="仿宋" w:hAnsi="仿宋" w:eastAsia="仿宋" w:cs="宋体"/>
          <w:b/>
          <w:szCs w:val="30"/>
        </w:rPr>
        <w:t>进一步完善项目绩效指标体系，</w:t>
      </w:r>
      <w:r>
        <w:rPr>
          <w:rFonts w:hint="eastAsia" w:ascii="仿宋" w:hAnsi="仿宋" w:eastAsia="仿宋" w:cs="仿宋_GB2312"/>
          <w:b/>
          <w:bCs/>
          <w:szCs w:val="30"/>
        </w:rPr>
        <w:t>提高绩效目标管理工作的规范性。</w:t>
      </w:r>
      <w:r>
        <w:rPr>
          <w:rFonts w:hint="eastAsia" w:ascii="仿宋" w:hAnsi="仿宋" w:eastAsia="仿宋" w:cs="仿宋_GB2312"/>
          <w:bCs/>
          <w:szCs w:val="30"/>
        </w:rPr>
        <w:t>该项目为本年度新增预算项目，反映全省戒毒工作业务管理绩效个性指标在设定上还不够了全面，下一步将围绕戒毒工作管理政策的落实与制度的执行、戒毒场所安全环境的打造等方面增设具体绩效考核指标，使绩效指标体系更加地合理全面。</w:t>
      </w:r>
    </w:p>
    <w:p>
      <w:pPr>
        <w:spacing w:line="360" w:lineRule="auto"/>
        <w:ind w:firstLine="600"/>
        <w:rPr>
          <w:rFonts w:ascii="楷体" w:hAnsi="楷体" w:eastAsia="楷体"/>
          <w:b/>
          <w:szCs w:val="30"/>
        </w:rPr>
      </w:pPr>
      <w:r>
        <w:rPr>
          <w:rFonts w:hint="eastAsia" w:ascii="楷体" w:hAnsi="楷体" w:eastAsia="楷体"/>
          <w:b/>
          <w:szCs w:val="30"/>
        </w:rPr>
        <w:t>（二）拟与预算安排相结合情况</w:t>
      </w:r>
    </w:p>
    <w:p>
      <w:pPr>
        <w:ind w:firstLine="600" w:firstLineChars="200"/>
        <w:rPr>
          <w:rFonts w:ascii="仿宋" w:hAnsi="仿宋" w:eastAsia="仿宋"/>
          <w:bCs/>
          <w:szCs w:val="30"/>
        </w:rPr>
      </w:pPr>
      <w:r>
        <w:rPr>
          <w:rFonts w:hint="eastAsia" w:ascii="仿宋" w:hAnsi="仿宋" w:eastAsia="仿宋"/>
          <w:bCs/>
          <w:szCs w:val="30"/>
        </w:rPr>
        <w:t>以评价结果为导向，进一步地完善经费支出预算管理，围绕下一年度项目工作计划与工作目标，明确经费支出方向与内容，精确化编制项目经费支出预算。</w:t>
      </w:r>
    </w:p>
    <w:p>
      <w:pPr>
        <w:spacing w:line="360" w:lineRule="auto"/>
        <w:ind w:firstLine="600"/>
        <w:rPr>
          <w:rFonts w:ascii="仿宋" w:hAnsi="仿宋" w:eastAsia="仿宋" w:cs="宋体"/>
          <w:kern w:val="0"/>
          <w:szCs w:val="30"/>
        </w:rPr>
      </w:pPr>
      <w:r>
        <w:rPr>
          <w:rFonts w:hint="eastAsia" w:ascii="楷体" w:hAnsi="楷体" w:eastAsia="楷体"/>
          <w:b/>
          <w:szCs w:val="30"/>
        </w:rPr>
        <w:t>（三）拟公开情况</w:t>
      </w:r>
    </w:p>
    <w:p>
      <w:pPr>
        <w:pStyle w:val="4"/>
        <w:spacing w:before="0" w:beforeAutospacing="0" w:after="0" w:afterAutospacing="0" w:line="368" w:lineRule="atLeast"/>
        <w:ind w:firstLine="588" w:firstLineChars="196"/>
        <w:rPr>
          <w:rFonts w:ascii="仿宋" w:hAnsi="仿宋" w:eastAsia="仿宋"/>
          <w:bCs/>
          <w:sz w:val="30"/>
          <w:szCs w:val="30"/>
        </w:rPr>
      </w:pPr>
      <w:r>
        <w:rPr>
          <w:rFonts w:hint="eastAsia" w:ascii="仿宋" w:hAnsi="仿宋" w:eastAsia="仿宋"/>
          <w:bCs/>
          <w:sz w:val="30"/>
          <w:szCs w:val="30"/>
        </w:rPr>
        <w:t>拟通过省司法厅官网、政府网公示平台将绩效自评结果挂网，加大绩效自评结果公开的力度，广泛接受社会监督。</w:t>
      </w:r>
    </w:p>
    <w:p>
      <w:pPr>
        <w:adjustRightInd w:val="0"/>
        <w:snapToGrid w:val="0"/>
        <w:spacing w:line="360" w:lineRule="auto"/>
        <w:rPr>
          <w:rFonts w:ascii="楷体" w:hAnsi="楷体" w:eastAsia="楷体"/>
          <w:sz w:val="32"/>
          <w:szCs w:val="32"/>
        </w:rPr>
      </w:pP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附：2019年戒毒工作业务管理费支出绩效自评表</w:t>
      </w:r>
    </w:p>
    <w:p>
      <w:pPr>
        <w:adjustRightInd w:val="0"/>
        <w:snapToGrid w:val="0"/>
        <w:spacing w:line="360" w:lineRule="auto"/>
        <w:ind w:right="640"/>
        <w:rPr>
          <w:rFonts w:ascii="仿宋_GB2312" w:hAnsi="仿宋"/>
          <w:bCs/>
          <w:sz w:val="32"/>
          <w:szCs w:val="32"/>
        </w:rPr>
      </w:pPr>
    </w:p>
    <w:p>
      <w:pPr>
        <w:adjustRightInd w:val="0"/>
        <w:snapToGrid w:val="0"/>
        <w:spacing w:line="360" w:lineRule="auto"/>
        <w:ind w:right="320" w:firstLine="640" w:firstLineChars="200"/>
        <w:jc w:val="right"/>
        <w:rPr>
          <w:rFonts w:ascii="楷体" w:hAnsi="楷体" w:eastAsia="楷体"/>
          <w:bCs/>
          <w:sz w:val="32"/>
          <w:szCs w:val="32"/>
        </w:rPr>
      </w:pPr>
      <w:r>
        <w:rPr>
          <w:rFonts w:hint="eastAsia" w:ascii="楷体" w:hAnsi="楷体" w:eastAsia="楷体"/>
          <w:bCs/>
          <w:sz w:val="32"/>
          <w:szCs w:val="32"/>
        </w:rPr>
        <w:t>湖北省戒毒管理局</w:t>
      </w:r>
    </w:p>
    <w:p>
      <w:pPr>
        <w:adjustRightInd w:val="0"/>
        <w:snapToGrid w:val="0"/>
        <w:spacing w:line="360" w:lineRule="auto"/>
        <w:ind w:right="320" w:firstLine="640" w:firstLineChars="200"/>
        <w:jc w:val="right"/>
        <w:rPr>
          <w:rFonts w:ascii="楷体" w:hAnsi="楷体" w:eastAsia="楷体"/>
          <w:bCs/>
          <w:sz w:val="32"/>
          <w:szCs w:val="32"/>
        </w:rPr>
      </w:pPr>
      <w:r>
        <w:rPr>
          <w:rFonts w:hint="eastAsia" w:ascii="楷体" w:hAnsi="楷体" w:eastAsia="楷体"/>
          <w:bCs/>
          <w:sz w:val="32"/>
          <w:szCs w:val="32"/>
        </w:rPr>
        <w:t>2020年6月18日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8743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A6"/>
    <w:rsid w:val="0001092A"/>
    <w:rsid w:val="000210D7"/>
    <w:rsid w:val="00023FDC"/>
    <w:rsid w:val="00086E4E"/>
    <w:rsid w:val="001117EA"/>
    <w:rsid w:val="00122013"/>
    <w:rsid w:val="001473BC"/>
    <w:rsid w:val="00160D7B"/>
    <w:rsid w:val="001E22E6"/>
    <w:rsid w:val="001E628C"/>
    <w:rsid w:val="0020072C"/>
    <w:rsid w:val="00210D43"/>
    <w:rsid w:val="00275498"/>
    <w:rsid w:val="00294102"/>
    <w:rsid w:val="002C1854"/>
    <w:rsid w:val="002F2DE7"/>
    <w:rsid w:val="00307EBD"/>
    <w:rsid w:val="00312C7A"/>
    <w:rsid w:val="00313052"/>
    <w:rsid w:val="003D56E9"/>
    <w:rsid w:val="00425487"/>
    <w:rsid w:val="00430EA6"/>
    <w:rsid w:val="0046452C"/>
    <w:rsid w:val="00474566"/>
    <w:rsid w:val="00477021"/>
    <w:rsid w:val="00485CF2"/>
    <w:rsid w:val="004975C8"/>
    <w:rsid w:val="004E0D8F"/>
    <w:rsid w:val="004E1691"/>
    <w:rsid w:val="005028D8"/>
    <w:rsid w:val="00524651"/>
    <w:rsid w:val="0053407C"/>
    <w:rsid w:val="0056318A"/>
    <w:rsid w:val="00563B5C"/>
    <w:rsid w:val="00581B15"/>
    <w:rsid w:val="005B3861"/>
    <w:rsid w:val="005C22F4"/>
    <w:rsid w:val="005C5A38"/>
    <w:rsid w:val="006256DE"/>
    <w:rsid w:val="00641C9E"/>
    <w:rsid w:val="00650F7A"/>
    <w:rsid w:val="0065769E"/>
    <w:rsid w:val="00666636"/>
    <w:rsid w:val="006C3C3A"/>
    <w:rsid w:val="006D5294"/>
    <w:rsid w:val="006E1BCA"/>
    <w:rsid w:val="00756161"/>
    <w:rsid w:val="007A3708"/>
    <w:rsid w:val="007B46BC"/>
    <w:rsid w:val="00806465"/>
    <w:rsid w:val="0087139E"/>
    <w:rsid w:val="008D685B"/>
    <w:rsid w:val="008F6DDE"/>
    <w:rsid w:val="00920E63"/>
    <w:rsid w:val="00922F44"/>
    <w:rsid w:val="0092489D"/>
    <w:rsid w:val="00926524"/>
    <w:rsid w:val="00954799"/>
    <w:rsid w:val="00965D27"/>
    <w:rsid w:val="00986512"/>
    <w:rsid w:val="009A6A52"/>
    <w:rsid w:val="009B6A93"/>
    <w:rsid w:val="009C08C4"/>
    <w:rsid w:val="009F66A9"/>
    <w:rsid w:val="009F6D6E"/>
    <w:rsid w:val="009F780B"/>
    <w:rsid w:val="00A258D1"/>
    <w:rsid w:val="00A27AA3"/>
    <w:rsid w:val="00A436F9"/>
    <w:rsid w:val="00A65544"/>
    <w:rsid w:val="00A6665C"/>
    <w:rsid w:val="00A95335"/>
    <w:rsid w:val="00AB017F"/>
    <w:rsid w:val="00AD13B7"/>
    <w:rsid w:val="00AD4A40"/>
    <w:rsid w:val="00AE03A6"/>
    <w:rsid w:val="00AE1003"/>
    <w:rsid w:val="00AF0F56"/>
    <w:rsid w:val="00BC590F"/>
    <w:rsid w:val="00BC5B91"/>
    <w:rsid w:val="00BE38C6"/>
    <w:rsid w:val="00C24622"/>
    <w:rsid w:val="00C2534F"/>
    <w:rsid w:val="00C340E0"/>
    <w:rsid w:val="00C66234"/>
    <w:rsid w:val="00C83B2A"/>
    <w:rsid w:val="00CA55C1"/>
    <w:rsid w:val="00CC02E0"/>
    <w:rsid w:val="00CC22D6"/>
    <w:rsid w:val="00D3465D"/>
    <w:rsid w:val="00D47991"/>
    <w:rsid w:val="00D73CC7"/>
    <w:rsid w:val="00DA30BB"/>
    <w:rsid w:val="00DA3466"/>
    <w:rsid w:val="00DC4551"/>
    <w:rsid w:val="00DC50C6"/>
    <w:rsid w:val="00DF3876"/>
    <w:rsid w:val="00E5102F"/>
    <w:rsid w:val="00E56D59"/>
    <w:rsid w:val="00E8482A"/>
    <w:rsid w:val="00ED374B"/>
    <w:rsid w:val="00F0149C"/>
    <w:rsid w:val="00F343DC"/>
    <w:rsid w:val="00F83B26"/>
    <w:rsid w:val="00F93FB2"/>
    <w:rsid w:val="00F9462D"/>
    <w:rsid w:val="00FA6225"/>
    <w:rsid w:val="00FA6FEF"/>
    <w:rsid w:val="00FC3207"/>
    <w:rsid w:val="00FC6E17"/>
    <w:rsid w:val="00FD7EDF"/>
    <w:rsid w:val="6778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semiHidden/>
    <w:qFormat/>
    <w:uiPriority w:val="99"/>
    <w:rPr>
      <w:rFonts w:ascii="Times New Roman" w:hAnsi="Times New Roman" w:eastAsia="仿宋_GB2312" w:cs="Times New Roman"/>
      <w:sz w:val="18"/>
      <w:szCs w:val="18"/>
    </w:rPr>
  </w:style>
  <w:style w:type="character" w:customStyle="1" w:styleId="9">
    <w:name w:val="页脚 字符"/>
    <w:basedOn w:val="7"/>
    <w:link w:val="2"/>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457</Words>
  <Characters>2605</Characters>
  <Lines>21</Lines>
  <Paragraphs>6</Paragraphs>
  <TotalTime>894</TotalTime>
  <ScaleCrop>false</ScaleCrop>
  <LinksUpToDate>false</LinksUpToDate>
  <CharactersWithSpaces>3056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2020-06-01T02:02:00Z</dcterms:created>
  <dc:creator>Windows 用户</dc:creator>
  <cp:lastModifiedBy>韵～</cp:lastModifiedBy>
  <dcterms:modified xsi:type="dcterms:W3CDTF">2023-08-25T02:14:39Z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