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before="156" w:beforeLines="50" w:after="156" w:afterLines="50" w:line="360" w:lineRule="auto"/>
        <w:jc w:val="center"/>
        <w:rPr>
          <w:rFonts w:eastAsia="仿宋_GB2312"/>
          <w:b/>
          <w:color w:val="000000"/>
          <w:sz w:val="48"/>
          <w:szCs w:val="48"/>
        </w:rPr>
      </w:pPr>
    </w:p>
    <w:p>
      <w:pPr>
        <w:topLinePunct/>
        <w:spacing w:before="156" w:beforeLines="50" w:after="156" w:afterLines="50" w:line="360" w:lineRule="auto"/>
        <w:jc w:val="center"/>
        <w:rPr>
          <w:rFonts w:eastAsia="仿宋_GB2312"/>
          <w:b/>
          <w:color w:val="000000"/>
          <w:sz w:val="48"/>
          <w:szCs w:val="48"/>
        </w:rPr>
      </w:pPr>
    </w:p>
    <w:p>
      <w:pPr>
        <w:topLinePunct/>
        <w:spacing w:before="156" w:beforeLines="50" w:after="156" w:afterLines="50" w:line="360" w:lineRule="auto"/>
        <w:jc w:val="center"/>
        <w:rPr>
          <w:rFonts w:eastAsia="方正小标宋简体"/>
          <w:b/>
          <w:color w:val="000000"/>
          <w:sz w:val="48"/>
          <w:szCs w:val="48"/>
        </w:rPr>
      </w:pPr>
      <w:r>
        <w:rPr>
          <w:rFonts w:eastAsia="方正小标宋简体"/>
          <w:b/>
          <w:color w:val="000000"/>
          <w:sz w:val="48"/>
          <w:szCs w:val="48"/>
        </w:rPr>
        <w:t>湖北省省级财政项目支出绩效自评报告</w:t>
      </w:r>
    </w:p>
    <w:p>
      <w:pPr>
        <w:topLinePunct/>
        <w:spacing w:line="360" w:lineRule="auto"/>
        <w:jc w:val="center"/>
        <w:rPr>
          <w:rFonts w:eastAsia="方正小标宋简体"/>
          <w:b/>
          <w:color w:val="000000"/>
          <w:sz w:val="44"/>
          <w:szCs w:val="44"/>
        </w:rPr>
      </w:pPr>
      <w:r>
        <w:rPr>
          <w:rFonts w:eastAsia="方正小标宋简体"/>
          <w:b/>
          <w:color w:val="000000"/>
          <w:sz w:val="44"/>
          <w:szCs w:val="44"/>
        </w:rPr>
        <w:t>（201</w:t>
      </w:r>
      <w:r>
        <w:rPr>
          <w:rFonts w:hint="eastAsia" w:eastAsia="方正小标宋简体"/>
          <w:b/>
          <w:color w:val="000000"/>
          <w:sz w:val="44"/>
          <w:szCs w:val="44"/>
        </w:rPr>
        <w:t>9</w:t>
      </w:r>
      <w:r>
        <w:rPr>
          <w:rFonts w:eastAsia="方正小标宋简体"/>
          <w:b/>
          <w:color w:val="000000"/>
          <w:sz w:val="44"/>
          <w:szCs w:val="44"/>
        </w:rPr>
        <w:t>年度）</w:t>
      </w:r>
    </w:p>
    <w:p>
      <w:pPr>
        <w:topLinePunct/>
        <w:spacing w:line="360" w:lineRule="auto"/>
        <w:jc w:val="center"/>
        <w:rPr>
          <w:b/>
          <w:color w:val="000000"/>
          <w:sz w:val="44"/>
          <w:szCs w:val="44"/>
        </w:rPr>
      </w:pPr>
    </w:p>
    <w:p>
      <w:pPr>
        <w:topLinePunct/>
        <w:spacing w:line="360" w:lineRule="auto"/>
        <w:jc w:val="center"/>
        <w:rPr>
          <w:b/>
          <w:color w:val="000000"/>
          <w:sz w:val="44"/>
          <w:szCs w:val="44"/>
        </w:rPr>
      </w:pPr>
    </w:p>
    <w:p>
      <w:pPr>
        <w:topLinePunct/>
        <w:spacing w:line="360" w:lineRule="auto"/>
        <w:jc w:val="center"/>
        <w:rPr>
          <w:b/>
          <w:color w:val="000000"/>
          <w:sz w:val="44"/>
          <w:szCs w:val="44"/>
        </w:rPr>
      </w:pPr>
    </w:p>
    <w:p>
      <w:pPr>
        <w:topLinePunct/>
        <w:spacing w:line="360" w:lineRule="auto"/>
        <w:jc w:val="center"/>
        <w:rPr>
          <w:b/>
          <w:color w:val="000000"/>
          <w:sz w:val="44"/>
          <w:szCs w:val="44"/>
        </w:rPr>
      </w:pPr>
    </w:p>
    <w:p>
      <w:pPr>
        <w:topLinePunct/>
        <w:spacing w:line="360" w:lineRule="auto"/>
        <w:jc w:val="center"/>
        <w:rPr>
          <w:b/>
          <w:color w:val="000000"/>
          <w:sz w:val="44"/>
          <w:szCs w:val="44"/>
        </w:rPr>
      </w:pPr>
    </w:p>
    <w:p>
      <w:pPr>
        <w:topLinePunct/>
        <w:spacing w:before="312" w:beforeLines="100" w:after="312" w:afterLines="100" w:line="360" w:lineRule="auto"/>
        <w:ind w:firstLine="643" w:firstLineChars="200"/>
        <w:rPr>
          <w:rFonts w:eastAsia="仿宋_GB2312"/>
          <w:b/>
          <w:bCs/>
          <w:kern w:val="0"/>
          <w:sz w:val="32"/>
          <w:szCs w:val="32"/>
        </w:rPr>
      </w:pPr>
      <w:r>
        <w:rPr>
          <w:rFonts w:eastAsia="仿宋_GB2312"/>
          <w:b/>
          <w:bCs/>
          <w:kern w:val="0"/>
          <w:sz w:val="32"/>
          <w:szCs w:val="32"/>
        </w:rPr>
        <w:t>项目名称：</w:t>
      </w:r>
      <w:r>
        <w:rPr>
          <w:rFonts w:hint="eastAsia" w:eastAsia="仿宋_GB2312"/>
          <w:b/>
          <w:bCs/>
          <w:kern w:val="0"/>
          <w:sz w:val="32"/>
          <w:szCs w:val="32"/>
        </w:rPr>
        <w:t>行政复议指导和应诉工作经费</w:t>
      </w:r>
    </w:p>
    <w:p>
      <w:pPr>
        <w:topLinePunct/>
        <w:spacing w:before="312" w:beforeLines="100" w:after="312" w:afterLines="100" w:line="360" w:lineRule="auto"/>
        <w:ind w:firstLine="643" w:firstLineChars="200"/>
        <w:rPr>
          <w:rFonts w:eastAsia="仿宋_GB2312"/>
          <w:b/>
          <w:bCs/>
          <w:kern w:val="0"/>
          <w:sz w:val="32"/>
          <w:szCs w:val="32"/>
        </w:rPr>
      </w:pPr>
      <w:r>
        <w:rPr>
          <w:rFonts w:eastAsia="仿宋_GB2312"/>
          <w:b/>
          <w:bCs/>
          <w:kern w:val="0"/>
          <w:sz w:val="32"/>
          <w:szCs w:val="32"/>
        </w:rPr>
        <w:t>项目单位：</w:t>
      </w:r>
      <w:r>
        <w:rPr>
          <w:rFonts w:hint="eastAsia" w:eastAsia="仿宋_GB2312"/>
          <w:b/>
          <w:bCs/>
          <w:kern w:val="0"/>
          <w:sz w:val="32"/>
          <w:szCs w:val="32"/>
        </w:rPr>
        <w:t>湖北省司法厅</w:t>
      </w:r>
      <w:r>
        <w:rPr>
          <w:rFonts w:hint="eastAsia" w:eastAsia="仿宋_GB2312"/>
          <w:b/>
          <w:bCs/>
          <w:kern w:val="0"/>
          <w:sz w:val="32"/>
          <w:szCs w:val="32"/>
        </w:rPr>
        <w:tab/>
      </w:r>
      <w:r>
        <w:rPr>
          <w:rFonts w:hint="eastAsia" w:eastAsia="仿宋_GB2312"/>
          <w:b/>
          <w:bCs/>
          <w:kern w:val="0"/>
          <w:sz w:val="32"/>
          <w:szCs w:val="32"/>
        </w:rPr>
        <w:tab/>
      </w:r>
    </w:p>
    <w:p>
      <w:pPr>
        <w:topLinePunct/>
        <w:spacing w:before="312" w:beforeLines="100" w:after="312" w:afterLines="100" w:line="360" w:lineRule="auto"/>
        <w:ind w:firstLine="643" w:firstLineChars="200"/>
        <w:rPr>
          <w:rFonts w:eastAsia="仿宋_GB2312"/>
          <w:b/>
          <w:bCs/>
          <w:kern w:val="0"/>
          <w:sz w:val="32"/>
          <w:szCs w:val="32"/>
        </w:rPr>
      </w:pPr>
      <w:r>
        <w:rPr>
          <w:rFonts w:eastAsia="仿宋_GB2312"/>
          <w:b/>
          <w:bCs/>
          <w:kern w:val="0"/>
          <w:sz w:val="32"/>
          <w:szCs w:val="32"/>
        </w:rPr>
        <w:t>主管</w:t>
      </w:r>
      <w:r>
        <w:rPr>
          <w:rFonts w:hint="eastAsia" w:eastAsia="仿宋_GB2312"/>
          <w:b/>
          <w:bCs/>
          <w:kern w:val="0"/>
          <w:sz w:val="32"/>
          <w:szCs w:val="32"/>
        </w:rPr>
        <w:t>部门</w:t>
      </w:r>
      <w:r>
        <w:rPr>
          <w:rFonts w:eastAsia="仿宋_GB2312"/>
          <w:b/>
          <w:bCs/>
          <w:kern w:val="0"/>
          <w:sz w:val="32"/>
          <w:szCs w:val="32"/>
        </w:rPr>
        <w:t>：</w:t>
      </w:r>
      <w:r>
        <w:rPr>
          <w:rFonts w:hint="eastAsia" w:eastAsia="仿宋_GB2312"/>
          <w:b/>
          <w:bCs/>
          <w:kern w:val="0"/>
          <w:sz w:val="32"/>
          <w:szCs w:val="32"/>
        </w:rPr>
        <w:t>湖北省司法厅</w:t>
      </w:r>
    </w:p>
    <w:p>
      <w:pPr>
        <w:topLinePunct/>
        <w:spacing w:before="312" w:beforeLines="100" w:after="312" w:afterLines="100" w:line="360" w:lineRule="auto"/>
        <w:ind w:firstLine="643" w:firstLineChars="200"/>
        <w:rPr>
          <w:rFonts w:eastAsia="仿宋_GB2312"/>
          <w:b/>
          <w:bCs/>
          <w:kern w:val="0"/>
          <w:sz w:val="32"/>
          <w:szCs w:val="32"/>
        </w:rPr>
      </w:pPr>
      <w:r>
        <w:rPr>
          <w:rFonts w:hint="eastAsia" w:eastAsia="仿宋_GB2312"/>
          <w:b/>
          <w:bCs/>
          <w:kern w:val="0"/>
          <w:sz w:val="32"/>
          <w:szCs w:val="32"/>
        </w:rPr>
        <w:t>评</w:t>
      </w:r>
      <w:r>
        <w:rPr>
          <w:rFonts w:eastAsia="仿宋_GB2312"/>
          <w:b/>
          <w:bCs/>
          <w:kern w:val="0"/>
          <w:sz w:val="32"/>
          <w:szCs w:val="32"/>
        </w:rPr>
        <w:t>价机构：</w:t>
      </w:r>
      <w:r>
        <w:rPr>
          <w:rFonts w:hint="eastAsia" w:eastAsia="仿宋_GB2312"/>
          <w:b/>
          <w:sz w:val="32"/>
          <w:szCs w:val="32"/>
        </w:rPr>
        <w:t>湖北省司法厅</w:t>
      </w:r>
      <w:r>
        <w:rPr>
          <w:rFonts w:eastAsia="仿宋_GB2312"/>
          <w:b/>
          <w:sz w:val="32"/>
          <w:szCs w:val="32"/>
        </w:rPr>
        <w:t>绩效自评</w:t>
      </w:r>
      <w:r>
        <w:rPr>
          <w:rFonts w:hint="eastAsia" w:eastAsia="仿宋_GB2312"/>
          <w:b/>
          <w:sz w:val="32"/>
          <w:szCs w:val="32"/>
        </w:rPr>
        <w:t>工作</w:t>
      </w:r>
      <w:r>
        <w:rPr>
          <w:rFonts w:eastAsia="仿宋_GB2312"/>
          <w:b/>
          <w:sz w:val="32"/>
          <w:szCs w:val="32"/>
        </w:rPr>
        <w:t>小组</w:t>
      </w:r>
    </w:p>
    <w:p>
      <w:pPr>
        <w:topLinePunct/>
        <w:snapToGrid w:val="0"/>
        <w:spacing w:line="360" w:lineRule="auto"/>
        <w:jc w:val="center"/>
        <w:rPr>
          <w:rFonts w:eastAsia="仿宋_GB2312"/>
          <w:b/>
          <w:bCs/>
          <w:kern w:val="0"/>
          <w:sz w:val="32"/>
          <w:szCs w:val="32"/>
        </w:rPr>
      </w:pPr>
    </w:p>
    <w:p>
      <w:pPr>
        <w:topLinePunct/>
        <w:snapToGrid w:val="0"/>
        <w:spacing w:line="360" w:lineRule="auto"/>
        <w:jc w:val="center"/>
        <w:rPr>
          <w:rFonts w:eastAsia="仿宋_GB2312"/>
          <w:b/>
          <w:bCs/>
          <w:kern w:val="0"/>
          <w:sz w:val="32"/>
          <w:szCs w:val="32"/>
        </w:rPr>
      </w:pPr>
    </w:p>
    <w:p>
      <w:pPr>
        <w:spacing w:before="156" w:beforeLines="50" w:after="156" w:afterLines="50" w:line="560" w:lineRule="exact"/>
        <w:jc w:val="center"/>
        <w:rPr>
          <w:rFonts w:eastAsia="仿宋_GB2312"/>
          <w:b/>
          <w:sz w:val="32"/>
          <w:szCs w:val="32"/>
        </w:rPr>
      </w:pPr>
      <w:r>
        <w:rPr>
          <w:rFonts w:eastAsia="仿宋_GB2312"/>
          <w:b/>
          <w:sz w:val="32"/>
          <w:szCs w:val="32"/>
        </w:rPr>
        <w:t>20</w:t>
      </w:r>
      <w:r>
        <w:rPr>
          <w:rFonts w:hint="eastAsia" w:eastAsia="仿宋_GB2312"/>
          <w:b/>
          <w:sz w:val="32"/>
          <w:szCs w:val="32"/>
        </w:rPr>
        <w:t>20</w:t>
      </w:r>
      <w:r>
        <w:rPr>
          <w:rFonts w:eastAsia="仿宋_GB2312"/>
          <w:b/>
          <w:sz w:val="32"/>
          <w:szCs w:val="32"/>
        </w:rPr>
        <w:t>年</w:t>
      </w:r>
      <w:r>
        <w:rPr>
          <w:rFonts w:hint="eastAsia" w:eastAsia="仿宋_GB2312"/>
          <w:b/>
          <w:sz w:val="32"/>
          <w:szCs w:val="32"/>
        </w:rPr>
        <w:t>6</w:t>
      </w:r>
      <w:r>
        <w:rPr>
          <w:rFonts w:eastAsia="仿宋_GB2312"/>
          <w:b/>
          <w:sz w:val="32"/>
          <w:szCs w:val="32"/>
        </w:rPr>
        <w:t>月</w:t>
      </w:r>
    </w:p>
    <w:p>
      <w:pPr>
        <w:rPr>
          <w:rFonts w:ascii="黑体" w:hAnsi="黑体" w:eastAsia="黑体" w:cs="黑体"/>
          <w:b/>
          <w:bCs/>
          <w:sz w:val="32"/>
          <w:szCs w:val="32"/>
        </w:rPr>
        <w:sectPr>
          <w:pgSz w:w="12240" w:h="15840"/>
          <w:pgMar w:top="1440" w:right="1800" w:bottom="1440" w:left="1800" w:header="720" w:footer="720" w:gutter="0"/>
          <w:pgNumType w:fmt="numberInDash" w:start="1"/>
          <w:cols w:space="425" w:num="1"/>
          <w:docGrid w:type="lines" w:linePitch="312" w:charSpace="0"/>
        </w:sectPr>
      </w:pPr>
    </w:p>
    <w:p>
      <w:pPr>
        <w:spacing w:line="560" w:lineRule="exact"/>
        <w:jc w:val="center"/>
        <w:rPr>
          <w:rFonts w:ascii="黑体" w:hAnsi="黑体" w:eastAsia="黑体" w:cs="黑体"/>
          <w:b/>
          <w:bCs/>
          <w:sz w:val="44"/>
          <w:szCs w:val="44"/>
        </w:rPr>
      </w:pPr>
      <w:r>
        <w:rPr>
          <w:rFonts w:hint="eastAsia" w:ascii="黑体" w:hAnsi="黑体" w:eastAsia="黑体" w:cs="黑体"/>
          <w:b/>
          <w:bCs/>
          <w:sz w:val="44"/>
          <w:szCs w:val="44"/>
        </w:rPr>
        <w:t>2019年度行政复议指导和应诉工作经费项目</w:t>
      </w:r>
    </w:p>
    <w:p>
      <w:pPr>
        <w:spacing w:line="560" w:lineRule="exact"/>
        <w:jc w:val="center"/>
        <w:rPr>
          <w:rFonts w:ascii="黑体" w:hAnsi="黑体" w:eastAsia="黑体" w:cs="黑体"/>
          <w:b/>
          <w:bCs/>
          <w:sz w:val="44"/>
          <w:szCs w:val="44"/>
        </w:rPr>
      </w:pPr>
      <w:r>
        <w:rPr>
          <w:rFonts w:hint="eastAsia" w:ascii="黑体" w:hAnsi="黑体" w:eastAsia="黑体" w:cs="黑体"/>
          <w:b/>
          <w:bCs/>
          <w:sz w:val="44"/>
          <w:szCs w:val="44"/>
        </w:rPr>
        <w:t>绩效自评报告</w:t>
      </w:r>
    </w:p>
    <w:p>
      <w:pPr>
        <w:spacing w:line="560" w:lineRule="exact"/>
        <w:jc w:val="center"/>
        <w:rPr>
          <w:rFonts w:ascii="仿宋_GB2312" w:eastAsia="宋体" w:cs="仿宋_GB2312"/>
          <w:sz w:val="32"/>
          <w:szCs w:val="32"/>
        </w:rPr>
      </w:pP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一、基本情况</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（一）项目立项情况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为了贯彻落实党的“全面推进依法治国”方略，推进依法行政、建设</w:t>
      </w:r>
      <w:r>
        <w:rPr>
          <w:rFonts w:hint="eastAsia" w:ascii="仿宋" w:hAnsi="仿宋" w:eastAsia="仿宋" w:cs="仿宋"/>
          <w:sz w:val="32"/>
          <w:szCs w:val="32"/>
          <w:lang w:eastAsia="zh-CN"/>
        </w:rPr>
        <w:t>法治</w:t>
      </w:r>
      <w:bookmarkStart w:id="3" w:name="_GoBack"/>
      <w:bookmarkEnd w:id="3"/>
      <w:r>
        <w:rPr>
          <w:rFonts w:hint="eastAsia" w:ascii="仿宋" w:hAnsi="仿宋" w:eastAsia="仿宋" w:cs="仿宋"/>
          <w:sz w:val="32"/>
          <w:szCs w:val="32"/>
        </w:rPr>
        <w:t>政府，确保我省行政复议指导和应诉工作正常开展，根据《行政诉讼法》《行政复议法》《行政复议法实施条例》等法律法规规定，按照《湖北省司法厅主要职责内设机构和人员编制规定》明确的职能，省司法厅设立行政复议指导和应诉工作经费项目（以下简称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项目预算主要内容和职责包括：复议案件调查，行政应诉案件代理，复议应诉案件指导、培训学习，行政复议专家组经费等。</w:t>
      </w:r>
    </w:p>
    <w:p>
      <w:pPr>
        <w:pStyle w:val="2"/>
        <w:spacing w:line="560" w:lineRule="exact"/>
        <w:ind w:firstLine="643"/>
        <w:rPr>
          <w:rFonts w:ascii="仿宋" w:hAnsi="仿宋" w:eastAsia="仿宋" w:cs="仿宋"/>
          <w:b/>
          <w:sz w:val="32"/>
          <w:szCs w:val="32"/>
        </w:rPr>
      </w:pPr>
      <w:r>
        <w:rPr>
          <w:rFonts w:hint="eastAsia" w:ascii="仿宋" w:hAnsi="仿宋" w:eastAsia="仿宋" w:cs="仿宋"/>
          <w:b/>
          <w:sz w:val="32"/>
          <w:szCs w:val="32"/>
        </w:rPr>
        <w:t>（二）年度绩效目标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充分发挥行政复议制度作用，消除违法和不当行政行为对经济发展环境的不良影响，化解行政争议，维护社会和谐稳定，促进行政机关依法行政，建设法治政府。</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（三）项目资金情况</w:t>
      </w:r>
    </w:p>
    <w:p>
      <w:pPr>
        <w:spacing w:line="560" w:lineRule="exact"/>
        <w:ind w:firstLine="640" w:firstLineChars="200"/>
        <w:rPr>
          <w:rFonts w:ascii="仿宋" w:hAnsi="仿宋" w:eastAsia="仿宋" w:cs="仿宋"/>
          <w:b/>
          <w:sz w:val="32"/>
          <w:szCs w:val="32"/>
        </w:rPr>
      </w:pPr>
      <w:r>
        <w:rPr>
          <w:rFonts w:hint="eastAsia" w:ascii="仿宋" w:hAnsi="仿宋" w:eastAsia="仿宋" w:cs="仿宋"/>
          <w:sz w:val="32"/>
          <w:szCs w:val="32"/>
        </w:rPr>
        <w:t>本项目为持续性、常年性项目，经费来源为省财政拨款。2019年度项目预算为44.40万元，实际执行44.40万元，预算执行率为</w:t>
      </w:r>
      <w:r>
        <w:rPr>
          <w:rFonts w:hint="eastAsia" w:ascii="仿宋" w:hAnsi="仿宋" w:eastAsia="仿宋" w:cs="仿宋"/>
          <w:kern w:val="0"/>
          <w:sz w:val="32"/>
          <w:szCs w:val="32"/>
        </w:rPr>
        <w:t>100</w:t>
      </w:r>
      <w:r>
        <w:rPr>
          <w:rFonts w:hint="eastAsia" w:ascii="仿宋" w:hAnsi="仿宋" w:eastAsia="仿宋" w:cs="仿宋"/>
          <w:sz w:val="32"/>
          <w:szCs w:val="32"/>
        </w:rPr>
        <w:t>%。</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二、绩效自评工作开展情况</w:t>
      </w:r>
    </w:p>
    <w:p>
      <w:pPr>
        <w:spacing w:line="560" w:lineRule="exact"/>
        <w:ind w:firstLine="640" w:firstLineChars="200"/>
        <w:rPr>
          <w:rFonts w:ascii="仿宋" w:hAnsi="仿宋" w:eastAsia="仿宋" w:cs="仿宋"/>
          <w:sz w:val="32"/>
          <w:szCs w:val="32"/>
        </w:rPr>
      </w:pPr>
      <w:bookmarkStart w:id="0" w:name="_Hlk10023645"/>
      <w:r>
        <w:rPr>
          <w:rFonts w:hint="eastAsia" w:ascii="仿宋" w:hAnsi="仿宋" w:eastAsia="仿宋" w:cs="仿宋"/>
          <w:sz w:val="32"/>
          <w:szCs w:val="32"/>
        </w:rPr>
        <w:t>根据《省财政厅关于编制2019年度省直部门决算的通知》（财库［2019］291号）关于做好2019年度财政支出绩效评价工作的要求，省司法厅加强组织领导和统筹协调，成立了由装备财务保障处牵头，相关业务部门参与的绩效自评工作小组（以下简称自评小组），制定了绩效自评方案，明确了绩效自评的原则、程序、方法和具体的实施步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1、4月底以前，学习有关绩效自评等文件精神，加强与项目执行部门和人员的沟通协调，制定工作计划，按照职责分工分解工作任务。召开自评工作布置会，明确绩效自评工作的重点和要求。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2、5月上旬，项目执行部门根据经人大批复的项目绩效目标，填写绩效自评表，收集、整理相关材料，并上报自评小组。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3、5月中旬，自评小组进行现场评价，与财务和相关业务人员座谈，了解项目资金使用管理情况、目标完成情况以及实施效果，核对项目明细账及原始凭证，查阅项目业务管理资料，复核相关基础数据。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4、6月中旬以前，自评小组汇总整理评价资料，结合现场检查的情况进行综合分析评价，提出意见或建议，撰写项目绩效自评报告，经预算绩效管理工作领导小组审核后上报。</w:t>
      </w:r>
    </w:p>
    <w:bookmarkEnd w:id="0"/>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三、绩效目标完成情况分析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2019年，省司法厅依法办理省政府行政复议案件22件、行政应诉案件184件，均胜诉；依法办理省司法厅行政复议案件52件，行政应诉案件34件；承办国务院裁决案件20件，全面地完成了2019年度项目绩效目标。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总体来看，省司法厅较好地完成了项目绩效目标,项目绩效自评得分100分，自评等级为“优”。</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1、项目资金到位情况分析</w:t>
      </w:r>
    </w:p>
    <w:p>
      <w:pPr>
        <w:spacing w:line="560" w:lineRule="exact"/>
        <w:ind w:firstLine="640" w:firstLineChars="200"/>
        <w:rPr>
          <w:rFonts w:ascii="仿宋" w:hAnsi="仿宋" w:eastAsia="仿宋" w:cs="仿宋"/>
          <w:sz w:val="32"/>
          <w:szCs w:val="32"/>
        </w:rPr>
      </w:pPr>
      <w:bookmarkStart w:id="1" w:name="_Hlk10023573"/>
      <w:r>
        <w:rPr>
          <w:rFonts w:hint="eastAsia" w:ascii="仿宋" w:hAnsi="仿宋" w:eastAsia="仿宋" w:cs="仿宋"/>
          <w:sz w:val="32"/>
          <w:szCs w:val="32"/>
        </w:rPr>
        <w:t>2019年度项目年初预算50万元</w:t>
      </w:r>
      <w:r>
        <w:rPr>
          <w:rFonts w:ascii="仿宋" w:hAnsi="仿宋" w:eastAsia="仿宋" w:cs="仿宋"/>
          <w:sz w:val="32"/>
          <w:szCs w:val="32"/>
        </w:rPr>
        <w:t>，预算变动调减</w:t>
      </w:r>
      <w:r>
        <w:rPr>
          <w:rFonts w:hint="eastAsia" w:ascii="仿宋" w:hAnsi="仿宋" w:eastAsia="仿宋" w:cs="仿宋"/>
          <w:sz w:val="32"/>
          <w:szCs w:val="32"/>
        </w:rPr>
        <w:t>5.6万元</w:t>
      </w:r>
      <w:r>
        <w:rPr>
          <w:rFonts w:ascii="仿宋" w:hAnsi="仿宋" w:eastAsia="仿宋" w:cs="仿宋"/>
          <w:sz w:val="32"/>
          <w:szCs w:val="32"/>
        </w:rPr>
        <w:t>，</w:t>
      </w:r>
      <w:r>
        <w:rPr>
          <w:rFonts w:hint="eastAsia" w:ascii="仿宋" w:hAnsi="仿宋" w:eastAsia="仿宋" w:cs="仿宋"/>
          <w:sz w:val="32"/>
          <w:szCs w:val="32"/>
        </w:rPr>
        <w:t>预算调整数</w:t>
      </w:r>
      <w:r>
        <w:rPr>
          <w:rFonts w:ascii="仿宋" w:hAnsi="仿宋" w:eastAsia="仿宋" w:cs="仿宋"/>
          <w:sz w:val="32"/>
          <w:szCs w:val="32"/>
        </w:rPr>
        <w:t>为</w:t>
      </w:r>
      <w:r>
        <w:rPr>
          <w:rFonts w:hint="eastAsia" w:ascii="仿宋" w:hAnsi="仿宋" w:eastAsia="仿宋" w:cs="仿宋"/>
          <w:sz w:val="32"/>
          <w:szCs w:val="32"/>
        </w:rPr>
        <w:t>44.40万元，当年实际到位资金44.40万元，资金到位率100%。</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2、项目预算执行情况分析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指标目标值为100%，设定分值20分。2019年,项目资金预算44.40万元，实际支出44.40万元，预算实际执行率为100%，得分20分，指标值偏差率为0。</w:t>
      </w:r>
      <w:bookmarkEnd w:id="1"/>
      <w:r>
        <w:rPr>
          <w:rFonts w:hint="eastAsia" w:ascii="仿宋" w:hAnsi="仿宋" w:eastAsia="仿宋" w:cs="仿宋"/>
          <w:sz w:val="32"/>
          <w:szCs w:val="32"/>
        </w:rPr>
        <w:t>具体情况如下表所示：</w:t>
      </w:r>
    </w:p>
    <w:tbl>
      <w:tblPr>
        <w:tblStyle w:val="5"/>
        <w:tblpPr w:leftFromText="180" w:rightFromText="180" w:vertAnchor="text" w:horzAnchor="page" w:tblpX="2251" w:tblpY="579"/>
        <w:tblOverlap w:val="never"/>
        <w:tblW w:w="7849" w:type="dxa"/>
        <w:tblInd w:w="0" w:type="dxa"/>
        <w:tblLayout w:type="fixed"/>
        <w:tblCellMar>
          <w:top w:w="0" w:type="dxa"/>
          <w:left w:w="0" w:type="dxa"/>
          <w:bottom w:w="0" w:type="dxa"/>
          <w:right w:w="0" w:type="dxa"/>
        </w:tblCellMar>
      </w:tblPr>
      <w:tblGrid>
        <w:gridCol w:w="2088"/>
        <w:gridCol w:w="1536"/>
        <w:gridCol w:w="1344"/>
        <w:gridCol w:w="1440"/>
        <w:gridCol w:w="1441"/>
      </w:tblGrid>
      <w:tr>
        <w:tblPrEx>
          <w:tblCellMar>
            <w:top w:w="0" w:type="dxa"/>
            <w:left w:w="0" w:type="dxa"/>
            <w:bottom w:w="0" w:type="dxa"/>
            <w:right w:w="0" w:type="dxa"/>
          </w:tblCellMar>
        </w:tblPrEx>
        <w:trPr>
          <w:trHeight w:val="312" w:hRule="atLeast"/>
        </w:trPr>
        <w:tc>
          <w:tcPr>
            <w:tcW w:w="7849" w:type="dxa"/>
            <w:gridSpan w:val="5"/>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8"/>
                <w:szCs w:val="28"/>
              </w:rPr>
              <w:t>项目支出明细表</w:t>
            </w:r>
          </w:p>
        </w:tc>
      </w:tr>
      <w:tr>
        <w:tblPrEx>
          <w:tblCellMar>
            <w:top w:w="0" w:type="dxa"/>
            <w:left w:w="0" w:type="dxa"/>
            <w:bottom w:w="0" w:type="dxa"/>
            <w:right w:w="0" w:type="dxa"/>
          </w:tblCellMar>
        </w:tblPrEx>
        <w:trPr>
          <w:trHeight w:val="303" w:hRule="atLeast"/>
        </w:trPr>
        <w:tc>
          <w:tcPr>
            <w:tcW w:w="2088" w:type="dxa"/>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单位：</w:t>
            </w:r>
            <w:r>
              <w:rPr>
                <w:rStyle w:val="13"/>
                <w:rFonts w:hint="default" w:hAnsi="宋体"/>
                <w:b/>
                <w:bCs/>
              </w:rPr>
              <w:t>万元</w:t>
            </w:r>
          </w:p>
        </w:tc>
        <w:tc>
          <w:tcPr>
            <w:tcW w:w="1536"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c>
          <w:tcPr>
            <w:tcW w:w="1344"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c>
          <w:tcPr>
            <w:tcW w:w="1440"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c>
          <w:tcPr>
            <w:tcW w:w="1441"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532" w:hRule="atLeast"/>
        </w:trPr>
        <w:tc>
          <w:tcPr>
            <w:tcW w:w="2088"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项  目</w:t>
            </w:r>
          </w:p>
        </w:tc>
        <w:tc>
          <w:tcPr>
            <w:tcW w:w="1536"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调整后预算数</w:t>
            </w:r>
          </w:p>
        </w:tc>
        <w:tc>
          <w:tcPr>
            <w:tcW w:w="134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实际执行数</w:t>
            </w:r>
          </w:p>
        </w:tc>
        <w:tc>
          <w:tcPr>
            <w:tcW w:w="1440"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差异数</w:t>
            </w:r>
          </w:p>
        </w:tc>
        <w:tc>
          <w:tcPr>
            <w:tcW w:w="1441"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预算执行率</w:t>
            </w:r>
          </w:p>
        </w:tc>
      </w:tr>
      <w:tr>
        <w:tblPrEx>
          <w:tblCellMar>
            <w:top w:w="0" w:type="dxa"/>
            <w:left w:w="0" w:type="dxa"/>
            <w:bottom w:w="0" w:type="dxa"/>
            <w:right w:w="0" w:type="dxa"/>
          </w:tblCellMar>
        </w:tblPrEx>
        <w:trPr>
          <w:trHeight w:val="303" w:hRule="atLeast"/>
        </w:trPr>
        <w:tc>
          <w:tcPr>
            <w:tcW w:w="208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办公费</w:t>
            </w:r>
          </w:p>
        </w:tc>
        <w:tc>
          <w:tcPr>
            <w:tcW w:w="15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12.40 </w:t>
            </w:r>
          </w:p>
        </w:tc>
        <w:tc>
          <w:tcPr>
            <w:tcW w:w="13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12.40 </w:t>
            </w:r>
          </w:p>
        </w:tc>
        <w:tc>
          <w:tcPr>
            <w:tcW w:w="144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0.00 </w:t>
            </w:r>
          </w:p>
        </w:tc>
        <w:tc>
          <w:tcPr>
            <w:tcW w:w="144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100.00%</w:t>
            </w:r>
          </w:p>
        </w:tc>
      </w:tr>
      <w:tr>
        <w:tblPrEx>
          <w:tblCellMar>
            <w:top w:w="0" w:type="dxa"/>
            <w:left w:w="0" w:type="dxa"/>
            <w:bottom w:w="0" w:type="dxa"/>
            <w:right w:w="0" w:type="dxa"/>
          </w:tblCellMar>
        </w:tblPrEx>
        <w:trPr>
          <w:trHeight w:val="336" w:hRule="atLeast"/>
        </w:trPr>
        <w:tc>
          <w:tcPr>
            <w:tcW w:w="208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培训费</w:t>
            </w:r>
          </w:p>
        </w:tc>
        <w:tc>
          <w:tcPr>
            <w:tcW w:w="15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17.50 </w:t>
            </w:r>
          </w:p>
        </w:tc>
        <w:tc>
          <w:tcPr>
            <w:tcW w:w="13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17.50 </w:t>
            </w:r>
          </w:p>
        </w:tc>
        <w:tc>
          <w:tcPr>
            <w:tcW w:w="144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0.00 </w:t>
            </w:r>
          </w:p>
        </w:tc>
        <w:tc>
          <w:tcPr>
            <w:tcW w:w="144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100.00%</w:t>
            </w:r>
          </w:p>
        </w:tc>
      </w:tr>
      <w:tr>
        <w:tblPrEx>
          <w:tblCellMar>
            <w:top w:w="0" w:type="dxa"/>
            <w:left w:w="0" w:type="dxa"/>
            <w:bottom w:w="0" w:type="dxa"/>
            <w:right w:w="0" w:type="dxa"/>
          </w:tblCellMar>
        </w:tblPrEx>
        <w:trPr>
          <w:trHeight w:val="303" w:hRule="atLeast"/>
        </w:trPr>
        <w:tc>
          <w:tcPr>
            <w:tcW w:w="208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委托业务费</w:t>
            </w:r>
          </w:p>
        </w:tc>
        <w:tc>
          <w:tcPr>
            <w:tcW w:w="15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14.50 </w:t>
            </w:r>
          </w:p>
        </w:tc>
        <w:tc>
          <w:tcPr>
            <w:tcW w:w="13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14.50 </w:t>
            </w:r>
          </w:p>
        </w:tc>
        <w:tc>
          <w:tcPr>
            <w:tcW w:w="144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0.00 </w:t>
            </w:r>
          </w:p>
        </w:tc>
        <w:tc>
          <w:tcPr>
            <w:tcW w:w="144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100.00%</w:t>
            </w:r>
          </w:p>
        </w:tc>
      </w:tr>
      <w:tr>
        <w:tblPrEx>
          <w:tblCellMar>
            <w:top w:w="0" w:type="dxa"/>
            <w:left w:w="0" w:type="dxa"/>
            <w:bottom w:w="0" w:type="dxa"/>
            <w:right w:w="0" w:type="dxa"/>
          </w:tblCellMar>
        </w:tblPrEx>
        <w:trPr>
          <w:trHeight w:val="303" w:hRule="atLeast"/>
        </w:trPr>
        <w:tc>
          <w:tcPr>
            <w:tcW w:w="208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合  计</w:t>
            </w:r>
          </w:p>
        </w:tc>
        <w:tc>
          <w:tcPr>
            <w:tcW w:w="1536"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b/>
                <w:color w:val="000000"/>
                <w:sz w:val="24"/>
              </w:rPr>
            </w:pPr>
            <w:r>
              <w:rPr>
                <w:rFonts w:ascii="Times New Roman" w:hAnsi="Times New Roman" w:eastAsia="宋体" w:cs="Times New Roman"/>
                <w:b/>
                <w:color w:val="000000"/>
                <w:kern w:val="0"/>
                <w:sz w:val="24"/>
              </w:rPr>
              <w:t xml:space="preserve">44.40 </w:t>
            </w:r>
          </w:p>
        </w:tc>
        <w:tc>
          <w:tcPr>
            <w:tcW w:w="13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sz w:val="24"/>
              </w:rPr>
            </w:pPr>
            <w:r>
              <w:rPr>
                <w:rFonts w:ascii="Times New Roman" w:hAnsi="Times New Roman" w:eastAsia="宋体" w:cs="Times New Roman"/>
                <w:b/>
                <w:color w:val="000000"/>
                <w:kern w:val="0"/>
                <w:sz w:val="24"/>
              </w:rPr>
              <w:t xml:space="preserve">44.40 </w:t>
            </w:r>
          </w:p>
        </w:tc>
        <w:tc>
          <w:tcPr>
            <w:tcW w:w="144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sz w:val="24"/>
              </w:rPr>
            </w:pPr>
            <w:r>
              <w:rPr>
                <w:rFonts w:ascii="Times New Roman" w:hAnsi="Times New Roman" w:eastAsia="宋体" w:cs="Times New Roman"/>
                <w:b/>
                <w:color w:val="000000"/>
                <w:kern w:val="0"/>
                <w:sz w:val="24"/>
              </w:rPr>
              <w:t xml:space="preserve">0.00 </w:t>
            </w:r>
          </w:p>
        </w:tc>
        <w:tc>
          <w:tcPr>
            <w:tcW w:w="144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sz w:val="24"/>
              </w:rPr>
            </w:pPr>
            <w:r>
              <w:rPr>
                <w:rFonts w:ascii="Times New Roman" w:hAnsi="Times New Roman" w:eastAsia="宋体" w:cs="Times New Roman"/>
                <w:b/>
                <w:color w:val="000000"/>
                <w:kern w:val="0"/>
                <w:sz w:val="24"/>
              </w:rPr>
              <w:t>100.00%</w:t>
            </w:r>
          </w:p>
        </w:tc>
      </w:tr>
    </w:tbl>
    <w:p>
      <w:pPr>
        <w:spacing w:before="156" w:beforeLines="50" w:line="560" w:lineRule="exact"/>
        <w:ind w:firstLine="643" w:firstLineChars="200"/>
        <w:rPr>
          <w:rFonts w:ascii="仿宋" w:hAnsi="仿宋" w:eastAsia="仿宋" w:cs="仿宋"/>
          <w:sz w:val="32"/>
          <w:szCs w:val="32"/>
        </w:rPr>
      </w:pPr>
      <w:r>
        <w:rPr>
          <w:rFonts w:hint="eastAsia" w:ascii="仿宋" w:hAnsi="仿宋" w:eastAsia="仿宋" w:cs="仿宋"/>
          <w:b/>
          <w:sz w:val="32"/>
          <w:szCs w:val="32"/>
        </w:rPr>
        <w:t>3、项目资金管理情况分析</w:t>
      </w:r>
      <w:bookmarkStart w:id="2" w:name="_Hlk10024281"/>
    </w:p>
    <w:bookmarkEnd w:id="2"/>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省司法厅十分重视财务管理工作，严格遵守国家财经法律法规，认真执行省直行政事业单位财务收支管理相关规定，资金管理情况较好。一是财务管理制度健全有效。近几年，省司法厅结合自身实际修订印发了《湖北省司法厅财务管理办法》《湖北省司法厅会议费管理实施办法》《湖北省司法厅培训费管理实施办法》等财务管理制度，内部管理制度体系建设持续加强。二是资金使用合规。资金使用范围、对象明确，资金支付程序合规、手续完备，重大开支经过厅党组和厅办公会事前集体决策。三是资金支出真实、有效，无截留、挤占、挪用和虚列支出等情况。四是资金报账凭据及财务记录真实、完整、合规。</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（二）绩效目标完成情况分析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为客观评价项目绩效，本次自评在年初申报的绩效目标基础上，进一步优化了部分自评指标，其完成情况具体如下：</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1、产出指标完成情况分析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产出指标评价设定分值60分，综合评价得分60分，得分率100%。</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（1）案件办理数量完成率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指标目标值为99%，设定分值10分。指标完成率100%，得分10分，指标执行偏差率为0。</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省司法厅依法办理省政府行政复议案件22件、行政应诉案件184件，均胜诉；依法办理省司法厅行政复议案件52件，行政应诉案件34件；承办国务院裁决案件20件，全面地完成了案件办理任务。</w:t>
      </w:r>
    </w:p>
    <w:p>
      <w:pPr>
        <w:numPr>
          <w:ilvl w:val="0"/>
          <w:numId w:val="1"/>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研究课题完成率</w:t>
      </w:r>
    </w:p>
    <w:p>
      <w:pPr>
        <w:pStyle w:val="2"/>
        <w:spacing w:line="560" w:lineRule="exact"/>
        <w:ind w:firstLine="640"/>
      </w:pPr>
      <w:r>
        <w:rPr>
          <w:rFonts w:hint="eastAsia" w:ascii="仿宋" w:hAnsi="仿宋" w:eastAsia="仿宋" w:cs="仿宋"/>
          <w:sz w:val="32"/>
          <w:szCs w:val="32"/>
        </w:rPr>
        <w:t>指标目标值为100%，设定分值10分。指标完成率100%，得分10分，指标执行偏差率为0。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2019年，省司法厅完成了行政复议和应诉方面6个研究课题研究工作并结题，全面完成了课题研究任务。</w:t>
      </w:r>
    </w:p>
    <w:p>
      <w:pPr>
        <w:pStyle w:val="2"/>
        <w:spacing w:line="560" w:lineRule="exact"/>
        <w:ind w:firstLine="643"/>
        <w:rPr>
          <w:b/>
          <w:bCs/>
        </w:rPr>
      </w:pPr>
      <w:r>
        <w:rPr>
          <w:rFonts w:hint="eastAsia" w:ascii="仿宋" w:hAnsi="仿宋" w:eastAsia="仿宋" w:cs="仿宋"/>
          <w:b/>
          <w:bCs/>
          <w:sz w:val="32"/>
          <w:szCs w:val="32"/>
        </w:rPr>
        <w:t>（3）指导、培训次数完成率</w:t>
      </w:r>
    </w:p>
    <w:p>
      <w:pPr>
        <w:pStyle w:val="2"/>
        <w:spacing w:line="560" w:lineRule="exact"/>
        <w:ind w:firstLine="960" w:firstLineChars="300"/>
      </w:pPr>
      <w:r>
        <w:rPr>
          <w:rFonts w:hint="eastAsia" w:ascii="仿宋" w:hAnsi="仿宋" w:eastAsia="仿宋" w:cs="仿宋"/>
          <w:sz w:val="32"/>
          <w:szCs w:val="32"/>
        </w:rPr>
        <w:t>指标目标值为100%，设定分值10分。</w:t>
      </w:r>
      <w:r>
        <w:rPr>
          <w:rFonts w:hint="eastAsia" w:ascii="仿宋" w:hAnsi="仿宋" w:eastAsia="仿宋" w:cs="Times New Roman"/>
          <w:sz w:val="32"/>
          <w:szCs w:val="32"/>
        </w:rPr>
        <w:t>指标完成数值为</w:t>
      </w:r>
      <w:r>
        <w:rPr>
          <w:rFonts w:hint="eastAsia" w:ascii="仿宋" w:hAnsi="仿宋" w:eastAsia="仿宋" w:cs="仿宋"/>
          <w:sz w:val="32"/>
          <w:szCs w:val="32"/>
        </w:rPr>
        <w:t>100%</w:t>
      </w:r>
      <w:r>
        <w:rPr>
          <w:rFonts w:hint="eastAsia" w:ascii="仿宋" w:hAnsi="仿宋" w:eastAsia="仿宋" w:cs="Times New Roman"/>
          <w:sz w:val="32"/>
          <w:szCs w:val="32"/>
        </w:rPr>
        <w:t>，</w:t>
      </w:r>
      <w:r>
        <w:rPr>
          <w:rFonts w:hint="eastAsia" w:ascii="仿宋" w:hAnsi="仿宋" w:eastAsia="仿宋" w:cs="仿宋"/>
          <w:sz w:val="32"/>
          <w:szCs w:val="32"/>
        </w:rPr>
        <w:t>指标完成率100%，得分10分，指标执行偏差率为0。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对全省行政复议和行政应诉工作指导。一是利用新型互联网媒介提升全省行政复议应诉工作人员能力。建立了全省行政复议应诉工作微信群，既针对个案进行集体讨论分析，也及时学习理解新颁布的法律和最高人民法院新发布的司法解释，同时探讨、分享办案体会和经验，有效提高了全省复议应诉人员的实际工作能力水平。二是组织全省行政复议、应诉工作人员进行业务培训。9月上旬，应诉处联合复议处对省直和市州县的行政复议、应诉工作人员120人，进行行政复议和行政应诉业务培训。</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（4）案件处理完成及时率</w:t>
      </w:r>
    </w:p>
    <w:p>
      <w:pPr>
        <w:pStyle w:val="2"/>
        <w:spacing w:line="560" w:lineRule="exact"/>
        <w:ind w:firstLine="960" w:firstLineChars="300"/>
      </w:pPr>
      <w:r>
        <w:rPr>
          <w:rFonts w:hint="eastAsia" w:ascii="仿宋" w:hAnsi="仿宋" w:eastAsia="仿宋" w:cs="仿宋"/>
          <w:sz w:val="32"/>
          <w:szCs w:val="32"/>
        </w:rPr>
        <w:t>指标目标值为98%，设定分值30分。指标完成数值100%，指标完成率100%，得分30分，指标执行偏差率为0。</w:t>
      </w:r>
    </w:p>
    <w:p>
      <w:pPr>
        <w:pStyle w:val="2"/>
        <w:spacing w:line="560" w:lineRule="exact"/>
        <w:ind w:firstLine="640"/>
      </w:pPr>
      <w:r>
        <w:rPr>
          <w:rFonts w:hint="eastAsia" w:ascii="仿宋" w:hAnsi="仿宋" w:eastAsia="仿宋" w:cs="仿宋"/>
          <w:sz w:val="32"/>
          <w:szCs w:val="32"/>
        </w:rPr>
        <w:t>2019年，省司法厅及时完成了各项行政复议和应诉任务，得到了省政府的充分肯定。</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2、效益指标完成情况分析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评价设定分值20分，综合评价得分20分，得分率100%。</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社会公众或服务对象满意度：</w:t>
      </w:r>
      <w:r>
        <w:rPr>
          <w:rFonts w:hint="eastAsia" w:ascii="仿宋" w:hAnsi="仿宋" w:eastAsia="仿宋" w:cs="仿宋"/>
          <w:sz w:val="32"/>
          <w:szCs w:val="32"/>
        </w:rPr>
        <w:t>指标目标值为≥99%，设定分值20分。指标完成率100%，得分20分，指标执行偏差率为0。</w:t>
      </w:r>
    </w:p>
    <w:p>
      <w:pPr>
        <w:pStyle w:val="2"/>
        <w:spacing w:line="560" w:lineRule="exact"/>
        <w:ind w:firstLine="640"/>
        <w:rPr>
          <w:rFonts w:ascii="黑体" w:hAnsi="黑体" w:eastAsia="黑体" w:cs="黑体"/>
          <w:b/>
          <w:bCs/>
          <w:sz w:val="32"/>
          <w:szCs w:val="32"/>
        </w:rPr>
      </w:pPr>
      <w:r>
        <w:rPr>
          <w:rFonts w:hint="eastAsia" w:ascii="仿宋" w:hAnsi="仿宋" w:eastAsia="仿宋" w:cs="仿宋"/>
          <w:sz w:val="32"/>
          <w:szCs w:val="32"/>
        </w:rPr>
        <w:t>2019年，省司法厅完成的各项行政复议和应诉任务，得到了省委、省政府、省人大、省政协的高度肯定，为法制湖北的建设作出了积极的贡献。</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四、自评结果拟应用情况</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（一）下一步整改措施</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1、项目整改措施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在绩效自评结果确定后二十日内，以正式文件或函件等形式将绩效自评结果和整改要求反馈给项目执行部门。项目执行部门按下述整改措施，在九十日内逐项落实到位。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是坚持预算编制全面性和准确性等原则，进一步增强预算编制的科学性、前瞻性和准确性，不断提高预算编制质量。二是强化预算的刚性约束，按照批复的项目预算和单位年度工作计划，坚守“量入为出”等预算管理原则，严格执行预算。</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2、绩效目标调整完善措施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为进一步完善绩效指标体系，充分发挥绩效目标的导向和激励作用，根据</w:t>
      </w:r>
      <w:r>
        <w:rPr>
          <w:rFonts w:ascii="仿宋" w:hAnsi="仿宋" w:eastAsia="仿宋" w:cs="仿宋"/>
          <w:sz w:val="32"/>
          <w:szCs w:val="32"/>
        </w:rPr>
        <w:t>机构改革后的</w:t>
      </w:r>
      <w:r>
        <w:rPr>
          <w:rFonts w:hint="eastAsia" w:ascii="仿宋" w:hAnsi="仿宋" w:eastAsia="仿宋" w:cs="仿宋"/>
          <w:sz w:val="32"/>
          <w:szCs w:val="32"/>
        </w:rPr>
        <w:t>新职能新定位，按照指向明确、细化量化、合理可行、相应匹配的原则，科学合理设定预算绩效目标。</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（二）拟与预算安排相结合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1、绩效自评结果拟作为2020年度项目预算调整及2021年度项目预算编制和财政资金安排的重要依据。</w:t>
      </w:r>
    </w:p>
    <w:p>
      <w:pPr>
        <w:pStyle w:val="2"/>
        <w:spacing w:line="560" w:lineRule="exact"/>
        <w:ind w:firstLine="640"/>
        <w:rPr>
          <w:rFonts w:ascii="仿宋" w:hAnsi="仿宋" w:eastAsia="仿宋" w:cs="仿宋"/>
          <w:sz w:val="32"/>
          <w:szCs w:val="32"/>
        </w:rPr>
      </w:pPr>
      <w:r>
        <w:rPr>
          <w:rFonts w:hint="eastAsia" w:ascii="仿宋" w:hAnsi="仿宋" w:eastAsia="仿宋" w:cs="仿宋"/>
          <w:sz w:val="32"/>
          <w:szCs w:val="32"/>
        </w:rPr>
        <w:t>2、努力提高预算年度工作任务计划的精准性，进一步明确项目主管单位（部门）预算管理职责，重视业务骨干参与预算管理工作全过程的协调，切实加强预算管理工作。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3、建立项目绩效考核机制，将项目实施过程和自评结果与人员绩效考核挂钩，增强项目实施人员的积极性和责任心，正确引导项目实施方向，确保实现项目目标。</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（三）拟公开情况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按照省级部门预决算公开的要求，将项目绩效自评结果随部门预决算一并公开。</w:t>
      </w:r>
    </w:p>
    <w:p>
      <w:pPr>
        <w:spacing w:line="560" w:lineRule="exact"/>
        <w:ind w:firstLine="640" w:firstLineChars="200"/>
        <w:rPr>
          <w:rFonts w:ascii="仿宋" w:hAnsi="仿宋" w:eastAsia="仿宋" w:cs="仿宋"/>
          <w:b/>
          <w:sz w:val="32"/>
          <w:szCs w:val="32"/>
        </w:rPr>
      </w:pPr>
      <w:r>
        <w:rPr>
          <w:rFonts w:hint="eastAsia" w:ascii="仿宋" w:hAnsi="仿宋" w:eastAsia="仿宋" w:cs="仿宋"/>
          <w:sz w:val="32"/>
          <w:szCs w:val="32"/>
        </w:rPr>
        <w:t>2. 在部门内部进行通报，并按照政府信息公开的有关规定在省司法厅门户网站公示。</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五、2019年度行政复议指导和应诉工作经费项目自评表（附后）</w:t>
      </w:r>
    </w:p>
    <w:p>
      <w:pPr>
        <w:pStyle w:val="2"/>
        <w:spacing w:line="560" w:lineRule="exact"/>
        <w:ind w:firstLine="643"/>
        <w:rPr>
          <w:rFonts w:ascii="黑体" w:hAnsi="黑体" w:eastAsia="黑体" w:cs="黑体"/>
          <w:b/>
          <w:bCs/>
          <w:sz w:val="32"/>
          <w:szCs w:val="32"/>
        </w:rPr>
      </w:pPr>
    </w:p>
    <w:p>
      <w:pPr>
        <w:pStyle w:val="2"/>
        <w:spacing w:line="560" w:lineRule="exact"/>
        <w:ind w:firstLine="643"/>
        <w:rPr>
          <w:rFonts w:ascii="黑体" w:hAnsi="黑体" w:eastAsia="黑体" w:cs="黑体"/>
          <w:b/>
          <w:bCs/>
          <w:sz w:val="32"/>
          <w:szCs w:val="32"/>
        </w:rPr>
      </w:pPr>
    </w:p>
    <w:p>
      <w:pPr>
        <w:pStyle w:val="2"/>
        <w:spacing w:line="560" w:lineRule="exact"/>
        <w:ind w:firstLine="643"/>
        <w:rPr>
          <w:rFonts w:ascii="黑体" w:hAnsi="黑体" w:eastAsia="黑体" w:cs="黑体"/>
          <w:b/>
          <w:bCs/>
          <w:sz w:val="32"/>
          <w:szCs w:val="32"/>
        </w:rPr>
      </w:pP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湖北省司法厅绩效自评工作小组</w:t>
      </w:r>
    </w:p>
    <w:p>
      <w:pPr>
        <w:spacing w:line="560" w:lineRule="exact"/>
        <w:ind w:firstLine="640" w:firstLineChars="200"/>
        <w:jc w:val="center"/>
        <w:rPr>
          <w:rFonts w:ascii="仿宋" w:hAnsi="仿宋" w:eastAsia="仿宋" w:cs="仿宋"/>
          <w:kern w:val="0"/>
          <w:sz w:val="32"/>
          <w:szCs w:val="32"/>
        </w:rPr>
      </w:pPr>
      <w:r>
        <w:rPr>
          <w:rFonts w:hint="eastAsia" w:ascii="仿宋" w:hAnsi="仿宋" w:eastAsia="仿宋" w:cs="仿宋"/>
          <w:sz w:val="32"/>
          <w:szCs w:val="32"/>
        </w:rPr>
        <w:t xml:space="preserve">                        2020年6月25日</w:t>
      </w:r>
    </w:p>
    <w:sectPr>
      <w:footerReference r:id="rId3" w:type="default"/>
      <w:pgSz w:w="12240" w:h="15840"/>
      <w:pgMar w:top="1440" w:right="1800" w:bottom="1440" w:left="1800" w:header="720" w:footer="72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eqibE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kNq88IJws0tIonDL&#10;FU6wY2EcWlE3Lljeir/vJevlN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3N6qJsQEA&#10;AE4DAAAOAAAAAAAAAAEAIAAAAB4BAABkcnMvZTJvRG9jLnhtbFBLBQYAAAAABgAGAFkBAABBBQAA&#10;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AA45D"/>
    <w:multiLevelType w:val="singleLevel"/>
    <w:tmpl w:val="3E2AA45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41E83"/>
    <w:rsid w:val="00050D19"/>
    <w:rsid w:val="00216D34"/>
    <w:rsid w:val="0023268A"/>
    <w:rsid w:val="002E2603"/>
    <w:rsid w:val="00323B56"/>
    <w:rsid w:val="004B778F"/>
    <w:rsid w:val="007252E6"/>
    <w:rsid w:val="00734F2E"/>
    <w:rsid w:val="00744649"/>
    <w:rsid w:val="008700C0"/>
    <w:rsid w:val="00991170"/>
    <w:rsid w:val="009D3B78"/>
    <w:rsid w:val="00A32584"/>
    <w:rsid w:val="00A32DD1"/>
    <w:rsid w:val="00C519B3"/>
    <w:rsid w:val="00CB4935"/>
    <w:rsid w:val="00E05BFD"/>
    <w:rsid w:val="00F275A3"/>
    <w:rsid w:val="01693B64"/>
    <w:rsid w:val="02E07927"/>
    <w:rsid w:val="03046864"/>
    <w:rsid w:val="0DA4747A"/>
    <w:rsid w:val="0E9638F1"/>
    <w:rsid w:val="10AA78CE"/>
    <w:rsid w:val="12C349BB"/>
    <w:rsid w:val="15EB3356"/>
    <w:rsid w:val="1650760B"/>
    <w:rsid w:val="1D40142E"/>
    <w:rsid w:val="1D676EB3"/>
    <w:rsid w:val="211D75F7"/>
    <w:rsid w:val="24BA5058"/>
    <w:rsid w:val="25E803FC"/>
    <w:rsid w:val="2BA935BC"/>
    <w:rsid w:val="2C26666E"/>
    <w:rsid w:val="2F8E7A22"/>
    <w:rsid w:val="30822C11"/>
    <w:rsid w:val="31733201"/>
    <w:rsid w:val="318F2276"/>
    <w:rsid w:val="335C504D"/>
    <w:rsid w:val="340F0D8F"/>
    <w:rsid w:val="34D151B8"/>
    <w:rsid w:val="35F506B0"/>
    <w:rsid w:val="38504BAF"/>
    <w:rsid w:val="3ABE478C"/>
    <w:rsid w:val="3C230836"/>
    <w:rsid w:val="3CD8187A"/>
    <w:rsid w:val="3DB41E83"/>
    <w:rsid w:val="3F971280"/>
    <w:rsid w:val="41A573C3"/>
    <w:rsid w:val="42A90FF5"/>
    <w:rsid w:val="46717B42"/>
    <w:rsid w:val="46FA6426"/>
    <w:rsid w:val="47CE7C40"/>
    <w:rsid w:val="4962513F"/>
    <w:rsid w:val="49E5780D"/>
    <w:rsid w:val="4F191E4D"/>
    <w:rsid w:val="54735F6F"/>
    <w:rsid w:val="54F67153"/>
    <w:rsid w:val="5A9108AD"/>
    <w:rsid w:val="5B963692"/>
    <w:rsid w:val="5BFE7EC0"/>
    <w:rsid w:val="5DCF7109"/>
    <w:rsid w:val="609145C2"/>
    <w:rsid w:val="611F1BB9"/>
    <w:rsid w:val="61E721DD"/>
    <w:rsid w:val="63F03BA3"/>
    <w:rsid w:val="6435300A"/>
    <w:rsid w:val="6AC3379A"/>
    <w:rsid w:val="6BE94730"/>
    <w:rsid w:val="6CA11E10"/>
    <w:rsid w:val="704E1E68"/>
    <w:rsid w:val="73462CC3"/>
    <w:rsid w:val="73CA204F"/>
    <w:rsid w:val="73E6298C"/>
    <w:rsid w:val="742577B8"/>
    <w:rsid w:val="74E51611"/>
    <w:rsid w:val="7AAA5748"/>
    <w:rsid w:val="7AF04094"/>
    <w:rsid w:val="7CFA13FB"/>
    <w:rsid w:val="7F692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Body Text First Indent 21"/>
    <w:basedOn w:val="1"/>
    <w:qFormat/>
    <w:uiPriority w:val="0"/>
    <w:pPr>
      <w:ind w:firstLine="88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01"/>
    <w:basedOn w:val="6"/>
    <w:qFormat/>
    <w:uiPriority w:val="0"/>
    <w:rPr>
      <w:rFonts w:hint="eastAsia" w:ascii="仿宋_GB2312" w:eastAsia="仿宋_GB2312" w:cs="仿宋_GB2312"/>
      <w:b/>
      <w:color w:val="000000"/>
      <w:sz w:val="20"/>
      <w:szCs w:val="20"/>
      <w:u w:val="none"/>
    </w:rPr>
  </w:style>
  <w:style w:type="character" w:customStyle="1" w:styleId="8">
    <w:name w:val="font51"/>
    <w:basedOn w:val="6"/>
    <w:qFormat/>
    <w:uiPriority w:val="0"/>
    <w:rPr>
      <w:rFonts w:hint="eastAsia" w:ascii="仿宋_GB2312" w:eastAsia="仿宋_GB2312" w:cs="仿宋_GB2312"/>
      <w:color w:val="000000"/>
      <w:sz w:val="20"/>
      <w:szCs w:val="20"/>
      <w:u w:val="none"/>
    </w:rPr>
  </w:style>
  <w:style w:type="character" w:customStyle="1" w:styleId="9">
    <w:name w:val="font11"/>
    <w:basedOn w:val="6"/>
    <w:qFormat/>
    <w:uiPriority w:val="0"/>
    <w:rPr>
      <w:rFonts w:hint="eastAsia" w:ascii="仿宋_GB2312" w:eastAsia="仿宋_GB2312" w:cs="仿宋_GB2312"/>
      <w:b/>
      <w:color w:val="000000"/>
      <w:sz w:val="20"/>
      <w:szCs w:val="20"/>
      <w:u w:val="none"/>
    </w:rPr>
  </w:style>
  <w:style w:type="character" w:customStyle="1" w:styleId="10">
    <w:name w:val="font61"/>
    <w:basedOn w:val="6"/>
    <w:qFormat/>
    <w:uiPriority w:val="0"/>
    <w:rPr>
      <w:rFonts w:hint="eastAsia" w:ascii="仿宋_GB2312" w:eastAsia="仿宋_GB2312" w:cs="仿宋_GB2312"/>
      <w:color w:val="000000"/>
      <w:sz w:val="20"/>
      <w:szCs w:val="20"/>
      <w:u w:val="none"/>
    </w:rPr>
  </w:style>
  <w:style w:type="character" w:customStyle="1" w:styleId="11">
    <w:name w:val="font31"/>
    <w:basedOn w:val="6"/>
    <w:qFormat/>
    <w:uiPriority w:val="0"/>
    <w:rPr>
      <w:rFonts w:hint="eastAsia" w:ascii="仿宋_GB2312" w:eastAsia="仿宋_GB2312" w:cs="仿宋_GB2312"/>
      <w:b/>
      <w:color w:val="000000"/>
      <w:sz w:val="20"/>
      <w:szCs w:val="20"/>
      <w:u w:val="none"/>
    </w:rPr>
  </w:style>
  <w:style w:type="character" w:customStyle="1" w:styleId="12">
    <w:name w:val="font21"/>
    <w:basedOn w:val="6"/>
    <w:qFormat/>
    <w:uiPriority w:val="0"/>
    <w:rPr>
      <w:rFonts w:hint="eastAsia" w:ascii="仿宋_GB2312" w:eastAsia="仿宋_GB2312" w:cs="仿宋_GB2312"/>
      <w:b/>
      <w:color w:val="000000"/>
      <w:sz w:val="20"/>
      <w:szCs w:val="20"/>
      <w:u w:val="none"/>
    </w:rPr>
  </w:style>
  <w:style w:type="character" w:customStyle="1" w:styleId="13">
    <w:name w:val="font7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湖北省人民政府法制办公室</Company>
  <Pages>8</Pages>
  <Words>515</Words>
  <Characters>2939</Characters>
  <Lines>24</Lines>
  <Paragraphs>6</Paragraphs>
  <TotalTime>7</TotalTime>
  <ScaleCrop>false</ScaleCrop>
  <LinksUpToDate>false</LinksUpToDate>
  <CharactersWithSpaces>3448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2019-06-04T01:51:00Z</dcterms:created>
  <dc:creator>李颖</dc:creator>
  <cp:lastModifiedBy>韵～</cp:lastModifiedBy>
  <dcterms:modified xsi:type="dcterms:W3CDTF">2023-06-07T07:59:28Z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