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10" w:rsidRDefault="006E5010">
      <w:pPr>
        <w:topLinePunct/>
        <w:spacing w:beforeLines="50" w:before="156" w:afterLines="50" w:after="156" w:line="360" w:lineRule="auto"/>
        <w:jc w:val="center"/>
        <w:rPr>
          <w:rFonts w:eastAsia="仿宋_GB2312"/>
          <w:b/>
          <w:sz w:val="48"/>
          <w:szCs w:val="48"/>
        </w:rPr>
      </w:pPr>
    </w:p>
    <w:p w:rsidR="006E5010" w:rsidRDefault="006E5010">
      <w:pPr>
        <w:topLinePunct/>
        <w:spacing w:beforeLines="50" w:before="156" w:afterLines="50" w:after="156" w:line="360" w:lineRule="auto"/>
        <w:jc w:val="center"/>
        <w:rPr>
          <w:rFonts w:eastAsia="仿宋_GB2312"/>
          <w:b/>
          <w:sz w:val="48"/>
          <w:szCs w:val="48"/>
        </w:rPr>
      </w:pPr>
    </w:p>
    <w:p w:rsidR="006E5010" w:rsidRDefault="00FD080A">
      <w:pPr>
        <w:topLinePunct/>
        <w:spacing w:beforeLines="50" w:before="156" w:afterLines="50" w:after="156" w:line="360" w:lineRule="auto"/>
        <w:jc w:val="center"/>
        <w:rPr>
          <w:rFonts w:eastAsia="方正小标宋简体"/>
          <w:b/>
          <w:sz w:val="48"/>
          <w:szCs w:val="48"/>
        </w:rPr>
      </w:pPr>
      <w:r>
        <w:rPr>
          <w:rFonts w:eastAsia="方正小标宋简体"/>
          <w:b/>
          <w:sz w:val="48"/>
          <w:szCs w:val="48"/>
        </w:rPr>
        <w:t>湖北省省级财政项目支出绩效自评报告</w:t>
      </w:r>
    </w:p>
    <w:p w:rsidR="006E5010" w:rsidRDefault="00FD080A">
      <w:pPr>
        <w:topLinePunct/>
        <w:spacing w:line="360" w:lineRule="auto"/>
        <w:jc w:val="center"/>
        <w:rPr>
          <w:rFonts w:eastAsia="方正小标宋简体"/>
          <w:b/>
          <w:sz w:val="44"/>
          <w:szCs w:val="44"/>
        </w:rPr>
      </w:pPr>
      <w:r>
        <w:rPr>
          <w:rFonts w:eastAsia="方正小标宋简体"/>
          <w:b/>
          <w:sz w:val="44"/>
          <w:szCs w:val="44"/>
        </w:rPr>
        <w:t>（</w:t>
      </w:r>
      <w:r>
        <w:rPr>
          <w:rFonts w:eastAsia="方正小标宋简体"/>
          <w:b/>
          <w:sz w:val="44"/>
          <w:szCs w:val="44"/>
        </w:rPr>
        <w:t>201</w:t>
      </w:r>
      <w:r>
        <w:rPr>
          <w:rFonts w:eastAsia="方正小标宋简体" w:hint="eastAsia"/>
          <w:b/>
          <w:sz w:val="44"/>
          <w:szCs w:val="44"/>
        </w:rPr>
        <w:t>9</w:t>
      </w:r>
      <w:r>
        <w:rPr>
          <w:rFonts w:eastAsia="方正小标宋简体"/>
          <w:b/>
          <w:sz w:val="44"/>
          <w:szCs w:val="44"/>
        </w:rPr>
        <w:t>年度）</w:t>
      </w:r>
    </w:p>
    <w:p w:rsidR="006E5010" w:rsidRDefault="006E5010">
      <w:pPr>
        <w:topLinePunct/>
        <w:spacing w:line="360" w:lineRule="auto"/>
        <w:jc w:val="center"/>
        <w:rPr>
          <w:b/>
          <w:sz w:val="44"/>
          <w:szCs w:val="44"/>
        </w:rPr>
      </w:pPr>
    </w:p>
    <w:p w:rsidR="006E5010" w:rsidRDefault="006E5010">
      <w:pPr>
        <w:topLinePunct/>
        <w:spacing w:line="360" w:lineRule="auto"/>
        <w:jc w:val="center"/>
        <w:rPr>
          <w:b/>
          <w:sz w:val="44"/>
          <w:szCs w:val="44"/>
        </w:rPr>
      </w:pPr>
    </w:p>
    <w:p w:rsidR="006E5010" w:rsidRDefault="006E5010">
      <w:pPr>
        <w:topLinePunct/>
        <w:spacing w:line="360" w:lineRule="auto"/>
        <w:jc w:val="center"/>
        <w:rPr>
          <w:b/>
          <w:sz w:val="44"/>
          <w:szCs w:val="44"/>
        </w:rPr>
      </w:pPr>
    </w:p>
    <w:p w:rsidR="006E5010" w:rsidRDefault="006E5010">
      <w:pPr>
        <w:topLinePunct/>
        <w:spacing w:line="360" w:lineRule="auto"/>
        <w:jc w:val="center"/>
        <w:rPr>
          <w:b/>
          <w:sz w:val="44"/>
          <w:szCs w:val="44"/>
        </w:rPr>
      </w:pPr>
    </w:p>
    <w:p w:rsidR="006E5010" w:rsidRDefault="006E5010">
      <w:pPr>
        <w:topLinePunct/>
        <w:spacing w:line="360" w:lineRule="auto"/>
        <w:jc w:val="center"/>
        <w:rPr>
          <w:b/>
          <w:sz w:val="44"/>
          <w:szCs w:val="44"/>
        </w:rPr>
      </w:pPr>
    </w:p>
    <w:p w:rsidR="006E5010" w:rsidRDefault="00FD080A">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项目名称：</w:t>
      </w:r>
      <w:r>
        <w:rPr>
          <w:rFonts w:eastAsia="仿宋_GB2312" w:hint="eastAsia"/>
          <w:b/>
          <w:bCs/>
          <w:kern w:val="0"/>
          <w:sz w:val="32"/>
          <w:szCs w:val="32"/>
        </w:rPr>
        <w:t>综合事务工作经费</w:t>
      </w:r>
    </w:p>
    <w:p w:rsidR="006E5010" w:rsidRDefault="00FD080A">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项目单位：</w:t>
      </w:r>
      <w:r>
        <w:rPr>
          <w:rFonts w:eastAsia="仿宋_GB2312" w:hint="eastAsia"/>
          <w:b/>
          <w:bCs/>
          <w:kern w:val="0"/>
          <w:sz w:val="32"/>
          <w:szCs w:val="32"/>
        </w:rPr>
        <w:t>湖北省司法厅</w:t>
      </w:r>
    </w:p>
    <w:p w:rsidR="006E5010" w:rsidRDefault="00FD080A">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主管</w:t>
      </w:r>
      <w:r>
        <w:rPr>
          <w:rFonts w:eastAsia="仿宋_GB2312" w:hint="eastAsia"/>
          <w:b/>
          <w:bCs/>
          <w:kern w:val="0"/>
          <w:sz w:val="32"/>
          <w:szCs w:val="32"/>
        </w:rPr>
        <w:t>部门</w:t>
      </w:r>
      <w:r>
        <w:rPr>
          <w:rFonts w:eastAsia="仿宋_GB2312"/>
          <w:b/>
          <w:bCs/>
          <w:kern w:val="0"/>
          <w:sz w:val="32"/>
          <w:szCs w:val="32"/>
        </w:rPr>
        <w:t>：</w:t>
      </w:r>
      <w:r>
        <w:rPr>
          <w:rFonts w:eastAsia="仿宋_GB2312" w:hint="eastAsia"/>
          <w:b/>
          <w:bCs/>
          <w:kern w:val="0"/>
          <w:sz w:val="32"/>
          <w:szCs w:val="32"/>
        </w:rPr>
        <w:t>湖北省司法厅</w:t>
      </w:r>
    </w:p>
    <w:p w:rsidR="006E5010" w:rsidRDefault="00FD080A">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评价机构：</w:t>
      </w:r>
      <w:r>
        <w:rPr>
          <w:rFonts w:eastAsia="仿宋_GB2312" w:hint="eastAsia"/>
          <w:b/>
          <w:sz w:val="32"/>
          <w:szCs w:val="32"/>
        </w:rPr>
        <w:t>湖北省司法厅</w:t>
      </w:r>
      <w:r>
        <w:rPr>
          <w:rFonts w:eastAsia="仿宋_GB2312"/>
          <w:b/>
          <w:sz w:val="32"/>
          <w:szCs w:val="32"/>
        </w:rPr>
        <w:t>绩效自评</w:t>
      </w:r>
      <w:r>
        <w:rPr>
          <w:rFonts w:eastAsia="仿宋_GB2312" w:hint="eastAsia"/>
          <w:b/>
          <w:sz w:val="32"/>
          <w:szCs w:val="32"/>
        </w:rPr>
        <w:t>工作</w:t>
      </w:r>
      <w:r>
        <w:rPr>
          <w:rFonts w:eastAsia="仿宋_GB2312"/>
          <w:b/>
          <w:sz w:val="32"/>
          <w:szCs w:val="32"/>
        </w:rPr>
        <w:t>小组</w:t>
      </w:r>
    </w:p>
    <w:p w:rsidR="006E5010" w:rsidRDefault="006E5010">
      <w:pPr>
        <w:topLinePunct/>
        <w:snapToGrid w:val="0"/>
        <w:spacing w:line="360" w:lineRule="auto"/>
        <w:jc w:val="center"/>
        <w:rPr>
          <w:rFonts w:eastAsia="仿宋_GB2312"/>
          <w:b/>
          <w:bCs/>
          <w:kern w:val="0"/>
          <w:sz w:val="32"/>
          <w:szCs w:val="32"/>
        </w:rPr>
      </w:pPr>
    </w:p>
    <w:p w:rsidR="006E5010" w:rsidRDefault="006E5010">
      <w:pPr>
        <w:topLinePunct/>
        <w:snapToGrid w:val="0"/>
        <w:spacing w:line="360" w:lineRule="auto"/>
        <w:jc w:val="center"/>
        <w:rPr>
          <w:rFonts w:eastAsia="仿宋_GB2312"/>
          <w:b/>
          <w:bCs/>
          <w:kern w:val="0"/>
          <w:sz w:val="32"/>
          <w:szCs w:val="32"/>
        </w:rPr>
      </w:pPr>
    </w:p>
    <w:p w:rsidR="006E5010" w:rsidRDefault="00FD080A">
      <w:pPr>
        <w:spacing w:beforeLines="50" w:before="156" w:afterLines="50" w:after="156" w:line="560" w:lineRule="exact"/>
        <w:jc w:val="center"/>
        <w:rPr>
          <w:rFonts w:eastAsia="仿宋_GB2312"/>
          <w:b/>
          <w:sz w:val="32"/>
          <w:szCs w:val="32"/>
        </w:rPr>
      </w:pPr>
      <w:r>
        <w:rPr>
          <w:rFonts w:eastAsia="仿宋_GB2312"/>
          <w:b/>
          <w:sz w:val="32"/>
          <w:szCs w:val="32"/>
        </w:rPr>
        <w:t>20</w:t>
      </w:r>
      <w:r>
        <w:rPr>
          <w:rFonts w:eastAsia="仿宋_GB2312" w:hint="eastAsia"/>
          <w:b/>
          <w:sz w:val="32"/>
          <w:szCs w:val="32"/>
        </w:rPr>
        <w:t>20</w:t>
      </w:r>
      <w:r>
        <w:rPr>
          <w:rFonts w:eastAsia="仿宋_GB2312"/>
          <w:b/>
          <w:sz w:val="32"/>
          <w:szCs w:val="32"/>
        </w:rPr>
        <w:t>年</w:t>
      </w:r>
      <w:r>
        <w:rPr>
          <w:rFonts w:eastAsia="仿宋_GB2312" w:hint="eastAsia"/>
          <w:b/>
          <w:sz w:val="32"/>
          <w:szCs w:val="32"/>
        </w:rPr>
        <w:t>6</w:t>
      </w:r>
      <w:r>
        <w:rPr>
          <w:rFonts w:eastAsia="仿宋_GB2312"/>
          <w:b/>
          <w:sz w:val="32"/>
          <w:szCs w:val="32"/>
        </w:rPr>
        <w:t>月</w:t>
      </w:r>
    </w:p>
    <w:p w:rsidR="006E5010" w:rsidRDefault="006E5010">
      <w:pPr>
        <w:spacing w:beforeLines="50" w:before="156" w:afterLines="50" w:after="156" w:line="560" w:lineRule="exact"/>
        <w:rPr>
          <w:rFonts w:eastAsia="仿宋_GB2312"/>
          <w:b/>
          <w:sz w:val="32"/>
        </w:rPr>
      </w:pPr>
    </w:p>
    <w:p w:rsidR="006E5010" w:rsidRDefault="006E5010">
      <w:pPr>
        <w:spacing w:beforeLines="50" w:before="156" w:afterLines="50" w:after="156" w:line="360" w:lineRule="auto"/>
        <w:jc w:val="center"/>
        <w:rPr>
          <w:rFonts w:ascii="黑体" w:eastAsia="黑体" w:hAnsi="黑体" w:cs="黑体"/>
          <w:b/>
          <w:sz w:val="36"/>
          <w:szCs w:val="36"/>
        </w:rPr>
        <w:sectPr w:rsidR="006E5010">
          <w:pgSz w:w="11906" w:h="16838"/>
          <w:pgMar w:top="1440" w:right="1800" w:bottom="1440" w:left="1800" w:header="851" w:footer="992" w:gutter="0"/>
          <w:pgNumType w:fmt="numberInDash" w:start="1"/>
          <w:cols w:space="425"/>
          <w:docGrid w:type="lines" w:linePitch="312"/>
        </w:sectPr>
      </w:pPr>
      <w:bookmarkStart w:id="0" w:name="_Hlk10023452"/>
    </w:p>
    <w:p w:rsidR="006E5010" w:rsidRDefault="006E5010">
      <w:pPr>
        <w:spacing w:beforeLines="50" w:before="156" w:afterLines="50" w:after="156" w:line="560" w:lineRule="exact"/>
        <w:jc w:val="center"/>
        <w:rPr>
          <w:rFonts w:ascii="黑体" w:eastAsia="黑体" w:hAnsi="黑体" w:cs="黑体"/>
          <w:b/>
          <w:sz w:val="44"/>
          <w:szCs w:val="44"/>
        </w:rPr>
      </w:pPr>
    </w:p>
    <w:p w:rsidR="006E5010" w:rsidRDefault="00FD080A">
      <w:pPr>
        <w:spacing w:beforeLines="50" w:before="156" w:afterLines="50" w:after="156" w:line="560" w:lineRule="exact"/>
        <w:jc w:val="center"/>
        <w:rPr>
          <w:rFonts w:ascii="黑体" w:eastAsia="黑体" w:hAnsi="黑体" w:cs="黑体"/>
          <w:b/>
          <w:sz w:val="44"/>
          <w:szCs w:val="44"/>
        </w:rPr>
      </w:pPr>
      <w:r>
        <w:rPr>
          <w:rFonts w:ascii="黑体" w:eastAsia="黑体" w:hAnsi="黑体" w:cs="黑体" w:hint="eastAsia"/>
          <w:b/>
          <w:sz w:val="44"/>
          <w:szCs w:val="44"/>
        </w:rPr>
        <w:t>2019</w:t>
      </w:r>
      <w:r>
        <w:rPr>
          <w:rFonts w:ascii="黑体" w:eastAsia="黑体" w:hAnsi="黑体" w:cs="黑体" w:hint="eastAsia"/>
          <w:b/>
          <w:sz w:val="44"/>
          <w:szCs w:val="44"/>
        </w:rPr>
        <w:t>年度</w:t>
      </w:r>
      <w:bookmarkEnd w:id="0"/>
      <w:r>
        <w:rPr>
          <w:rFonts w:ascii="黑体" w:eastAsia="黑体" w:hAnsi="黑体" w:cs="黑体" w:hint="eastAsia"/>
          <w:b/>
          <w:sz w:val="44"/>
          <w:szCs w:val="44"/>
        </w:rPr>
        <w:t>综合事务工作经费项目绩效</w:t>
      </w:r>
    </w:p>
    <w:p w:rsidR="006E5010" w:rsidRDefault="00FD080A">
      <w:pPr>
        <w:spacing w:beforeLines="50" w:before="156" w:afterLines="50" w:after="156" w:line="560" w:lineRule="exact"/>
        <w:jc w:val="center"/>
        <w:rPr>
          <w:rFonts w:asciiTheme="minorEastAsia" w:eastAsiaTheme="minorEastAsia" w:hAnsiTheme="minorEastAsia" w:cstheme="majorEastAsia"/>
          <w:b/>
          <w:sz w:val="44"/>
          <w:szCs w:val="44"/>
        </w:rPr>
      </w:pPr>
      <w:r>
        <w:rPr>
          <w:rFonts w:ascii="黑体" w:eastAsia="黑体" w:hAnsi="黑体" w:cs="黑体" w:hint="eastAsia"/>
          <w:b/>
          <w:sz w:val="44"/>
          <w:szCs w:val="44"/>
        </w:rPr>
        <w:t>自评报告</w:t>
      </w:r>
    </w:p>
    <w:p w:rsidR="006E5010" w:rsidRDefault="006E5010">
      <w:pPr>
        <w:spacing w:line="560" w:lineRule="exact"/>
        <w:ind w:firstLineChars="200" w:firstLine="602"/>
        <w:rPr>
          <w:rFonts w:ascii="黑体" w:eastAsia="黑体" w:hAnsi="黑体"/>
          <w:b/>
          <w:sz w:val="30"/>
          <w:szCs w:val="30"/>
        </w:rPr>
      </w:pPr>
    </w:p>
    <w:p w:rsidR="006E5010" w:rsidRDefault="00FD080A">
      <w:pPr>
        <w:spacing w:line="560" w:lineRule="exact"/>
        <w:ind w:firstLineChars="200" w:firstLine="643"/>
        <w:rPr>
          <w:rFonts w:ascii="黑体" w:eastAsia="黑体" w:hAnsi="黑体"/>
          <w:b/>
          <w:sz w:val="32"/>
          <w:szCs w:val="32"/>
        </w:rPr>
      </w:pPr>
      <w:r>
        <w:rPr>
          <w:rFonts w:ascii="黑体" w:eastAsia="黑体" w:hAnsi="黑体" w:hint="eastAsia"/>
          <w:b/>
          <w:sz w:val="32"/>
          <w:szCs w:val="32"/>
        </w:rPr>
        <w:t>一、基本情况</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（一）项目立项情况</w:t>
      </w:r>
    </w:p>
    <w:p w:rsidR="006E5010" w:rsidRDefault="00FD080A">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了保障我省司法系统信访、保密和档案管理及机关正常运行等综合事务工作正常开展，根据《中华人民共和国档案法》《司法行政机关信访工作办法》《保密事项范围规定、修订和使用指南》等法律法规和文件规定，按照《湖北省司法厅主要职责内设机构和人员编制规定》明确的职能，省司法厅设立综合事务工作经费项目（以下简称项目）。</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项目预算用途主要包括：信访工作、保密工作、档案管理、保安保洁物业管理、执法执勤用车司机劳务、援藏援疆、精准扶贫等对口帮扶、党风廉政建设和文明创建等方面工作经费。</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（二）年度绩效目标</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目标一：做好信访、保密、</w:t>
      </w:r>
      <w:r>
        <w:rPr>
          <w:rFonts w:ascii="仿宋" w:eastAsia="仿宋" w:hAnsi="仿宋" w:cs="仿宋" w:hint="eastAsia"/>
          <w:sz w:val="32"/>
          <w:szCs w:val="32"/>
        </w:rPr>
        <w:t>档案管理和安全内保及突发事件应急处置等方面工作，保持省司法系统总体稳定运行。</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目标二：做好司法厅文明创建、物业管理和后勤保障等方面工作，保证厅机关工作正常运转。</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（三）项目资金情况</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本项目为持续性、常年性项目，经费来源为省财政拨款。</w:t>
      </w:r>
      <w:r>
        <w:rPr>
          <w:rFonts w:ascii="仿宋" w:eastAsia="仿宋" w:hAnsi="仿宋" w:cs="仿宋" w:hint="eastAsia"/>
          <w:sz w:val="32"/>
          <w:szCs w:val="32"/>
        </w:rPr>
        <w:t>2019</w:t>
      </w:r>
      <w:r>
        <w:rPr>
          <w:rFonts w:ascii="仿宋" w:eastAsia="仿宋" w:hAnsi="仿宋" w:cs="仿宋" w:hint="eastAsia"/>
          <w:sz w:val="32"/>
          <w:szCs w:val="32"/>
        </w:rPr>
        <w:t>年度项目预算</w:t>
      </w:r>
      <w:r>
        <w:rPr>
          <w:rFonts w:ascii="仿宋" w:eastAsia="仿宋" w:hAnsi="仿宋" w:cs="仿宋" w:hint="eastAsia"/>
          <w:sz w:val="32"/>
          <w:szCs w:val="32"/>
        </w:rPr>
        <w:t>547.00</w:t>
      </w:r>
      <w:r>
        <w:rPr>
          <w:rFonts w:ascii="仿宋" w:eastAsia="仿宋" w:hAnsi="仿宋" w:cs="仿宋" w:hint="eastAsia"/>
          <w:sz w:val="32"/>
          <w:szCs w:val="32"/>
        </w:rPr>
        <w:t>万元，实际执行</w:t>
      </w:r>
      <w:r>
        <w:rPr>
          <w:rFonts w:ascii="仿宋" w:eastAsia="仿宋" w:hAnsi="仿宋" w:cs="仿宋" w:hint="eastAsia"/>
          <w:sz w:val="32"/>
          <w:szCs w:val="32"/>
        </w:rPr>
        <w:t>546.40</w:t>
      </w:r>
      <w:r>
        <w:rPr>
          <w:rFonts w:ascii="仿宋" w:eastAsia="仿宋" w:hAnsi="仿宋" w:cs="仿宋" w:hint="eastAsia"/>
          <w:sz w:val="32"/>
          <w:szCs w:val="32"/>
        </w:rPr>
        <w:t>万元，预</w:t>
      </w:r>
      <w:r>
        <w:rPr>
          <w:rFonts w:ascii="仿宋" w:eastAsia="仿宋" w:hAnsi="仿宋" w:cs="仿宋" w:hint="eastAsia"/>
          <w:sz w:val="32"/>
          <w:szCs w:val="32"/>
        </w:rPr>
        <w:lastRenderedPageBreak/>
        <w:t>算执行率为</w:t>
      </w:r>
      <w:r>
        <w:rPr>
          <w:rFonts w:ascii="仿宋" w:eastAsia="仿宋" w:hAnsi="仿宋" w:cs="仿宋" w:hint="eastAsia"/>
          <w:kern w:val="0"/>
          <w:sz w:val="32"/>
          <w:szCs w:val="32"/>
        </w:rPr>
        <w:t>99.89</w:t>
      </w:r>
      <w:r>
        <w:rPr>
          <w:rFonts w:ascii="仿宋" w:eastAsia="仿宋" w:hAnsi="仿宋" w:cs="仿宋" w:hint="eastAsia"/>
          <w:sz w:val="32"/>
          <w:szCs w:val="32"/>
        </w:rPr>
        <w:t>%</w:t>
      </w:r>
      <w:r>
        <w:rPr>
          <w:rFonts w:ascii="仿宋" w:eastAsia="仿宋" w:hAnsi="仿宋" w:cs="仿宋" w:hint="eastAsia"/>
          <w:sz w:val="32"/>
          <w:szCs w:val="32"/>
        </w:rPr>
        <w:t>。</w:t>
      </w:r>
    </w:p>
    <w:p w:rsidR="006E5010" w:rsidRDefault="00FD080A">
      <w:pPr>
        <w:spacing w:line="560" w:lineRule="exact"/>
        <w:ind w:firstLineChars="200" w:firstLine="643"/>
        <w:rPr>
          <w:rFonts w:ascii="黑体" w:eastAsia="黑体" w:hAnsi="黑体"/>
          <w:b/>
          <w:sz w:val="32"/>
          <w:szCs w:val="32"/>
        </w:rPr>
      </w:pPr>
      <w:r>
        <w:rPr>
          <w:rFonts w:ascii="黑体" w:eastAsia="黑体" w:hAnsi="黑体" w:hint="eastAsia"/>
          <w:b/>
          <w:sz w:val="32"/>
          <w:szCs w:val="32"/>
        </w:rPr>
        <w:t>二、绩效自评工作开展情况</w:t>
      </w:r>
    </w:p>
    <w:p w:rsidR="006E5010" w:rsidRDefault="00FD080A">
      <w:pPr>
        <w:spacing w:line="560" w:lineRule="exact"/>
        <w:ind w:firstLineChars="200" w:firstLine="640"/>
        <w:rPr>
          <w:rFonts w:ascii="仿宋" w:eastAsia="仿宋" w:hAnsi="仿宋" w:cs="仿宋"/>
          <w:sz w:val="32"/>
          <w:szCs w:val="32"/>
        </w:rPr>
      </w:pPr>
      <w:bookmarkStart w:id="1" w:name="_Hlk10023645"/>
      <w:r>
        <w:rPr>
          <w:rFonts w:ascii="仿宋" w:eastAsia="仿宋" w:hAnsi="仿宋" w:cs="仿宋" w:hint="eastAsia"/>
          <w:sz w:val="32"/>
          <w:szCs w:val="32"/>
        </w:rPr>
        <w:t>根据《省财政厅关于编制</w:t>
      </w:r>
      <w:r>
        <w:rPr>
          <w:rFonts w:ascii="仿宋" w:eastAsia="仿宋" w:hAnsi="仿宋" w:cs="仿宋" w:hint="eastAsia"/>
          <w:sz w:val="32"/>
          <w:szCs w:val="32"/>
        </w:rPr>
        <w:t>2019</w:t>
      </w:r>
      <w:r>
        <w:rPr>
          <w:rFonts w:ascii="仿宋" w:eastAsia="仿宋" w:hAnsi="仿宋" w:cs="仿宋" w:hint="eastAsia"/>
          <w:sz w:val="32"/>
          <w:szCs w:val="32"/>
        </w:rPr>
        <w:t>年度省直部门决算的通知》（财库［</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291</w:t>
      </w:r>
      <w:r>
        <w:rPr>
          <w:rFonts w:ascii="仿宋" w:eastAsia="仿宋" w:hAnsi="仿宋" w:cs="仿宋" w:hint="eastAsia"/>
          <w:sz w:val="32"/>
          <w:szCs w:val="32"/>
        </w:rPr>
        <w:t>号）关于做好</w:t>
      </w:r>
      <w:r>
        <w:rPr>
          <w:rFonts w:ascii="仿宋" w:eastAsia="仿宋" w:hAnsi="仿宋" w:cs="仿宋" w:hint="eastAsia"/>
          <w:sz w:val="32"/>
          <w:szCs w:val="32"/>
        </w:rPr>
        <w:t>2019</w:t>
      </w:r>
      <w:r>
        <w:rPr>
          <w:rFonts w:ascii="仿宋" w:eastAsia="仿宋" w:hAnsi="仿宋" w:cs="仿宋" w:hint="eastAsia"/>
          <w:sz w:val="32"/>
          <w:szCs w:val="32"/>
        </w:rPr>
        <w:t>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月底以前，学习有关绩效自评等文件精神，加强与项目执行部门和人员的沟通协调，制定工作计划，按照职责分工分解工作任务。召开自评工作布置会，明确绩效自评工作的重点和要求。</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月上旬，项目执行</w:t>
      </w:r>
      <w:r>
        <w:rPr>
          <w:rFonts w:ascii="仿宋" w:eastAsia="仿宋" w:hAnsi="仿宋" w:cs="仿宋" w:hint="eastAsia"/>
          <w:sz w:val="32"/>
          <w:szCs w:val="32"/>
        </w:rPr>
        <w:t>部门根据经人大批复的项目绩效目标，填写绩效自评表，收集、整理相关材料，并上报自评小组。</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月中旬，自评小组进行现场评价，与财务和相关业务人员座谈，了解项目资金使用管理情况、目标完成情况以及实施效果，核对项目明细账及原始凭证，查阅项目业务管理资料，复核相关基础数据。</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月中旬以前，自评小组汇总整理评价资料，结合现场检查的情况进行综合分析评价，提出意见或建议，撰写项目绩效自评报告，经预算绩效管理工作领导小组审核后上报。</w:t>
      </w:r>
    </w:p>
    <w:bookmarkEnd w:id="1"/>
    <w:p w:rsidR="006E5010" w:rsidRDefault="00FD080A">
      <w:pPr>
        <w:spacing w:line="560" w:lineRule="exact"/>
        <w:ind w:firstLineChars="200" w:firstLine="643"/>
        <w:rPr>
          <w:rFonts w:ascii="黑体" w:eastAsia="黑体" w:hAnsi="黑体"/>
          <w:b/>
          <w:sz w:val="32"/>
          <w:szCs w:val="32"/>
        </w:rPr>
      </w:pPr>
      <w:r>
        <w:rPr>
          <w:rFonts w:ascii="黑体" w:eastAsia="黑体" w:hAnsi="黑体" w:hint="eastAsia"/>
          <w:b/>
          <w:sz w:val="32"/>
          <w:szCs w:val="32"/>
        </w:rPr>
        <w:t>三、绩效目标完成情况分析</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2019</w:t>
      </w:r>
      <w:r>
        <w:rPr>
          <w:rFonts w:ascii="仿宋" w:eastAsia="仿宋" w:hAnsi="仿宋" w:cs="仿宋" w:hint="eastAsia"/>
          <w:sz w:val="32"/>
          <w:szCs w:val="32"/>
        </w:rPr>
        <w:t>年，省司法厅开展综治信访安全维稳督办</w:t>
      </w:r>
      <w:r>
        <w:rPr>
          <w:rFonts w:ascii="仿宋" w:eastAsia="仿宋" w:hAnsi="仿宋" w:cs="仿宋" w:hint="eastAsia"/>
          <w:sz w:val="32"/>
          <w:szCs w:val="32"/>
        </w:rPr>
        <w:t>42</w:t>
      </w:r>
      <w:r>
        <w:rPr>
          <w:rFonts w:ascii="仿宋" w:eastAsia="仿宋" w:hAnsi="仿宋" w:cs="仿宋" w:hint="eastAsia"/>
          <w:sz w:val="32"/>
          <w:szCs w:val="32"/>
        </w:rPr>
        <w:t>次，组织廉政文化宣传教育等活动</w:t>
      </w:r>
      <w:r>
        <w:rPr>
          <w:rFonts w:ascii="仿宋" w:eastAsia="仿宋" w:hAnsi="仿宋" w:cs="仿宋" w:hint="eastAsia"/>
          <w:sz w:val="32"/>
          <w:szCs w:val="32"/>
        </w:rPr>
        <w:t>8</w:t>
      </w:r>
      <w:r>
        <w:rPr>
          <w:rFonts w:ascii="仿宋" w:eastAsia="仿宋" w:hAnsi="仿宋" w:cs="仿宋" w:hint="eastAsia"/>
          <w:sz w:val="32"/>
          <w:szCs w:val="32"/>
        </w:rPr>
        <w:t>次，档案工作通过省特级复查，物业管理和后勤保障等方面持续改善，干部职工保障满意度为</w:t>
      </w:r>
      <w:r>
        <w:rPr>
          <w:rFonts w:ascii="仿宋" w:eastAsia="仿宋" w:hAnsi="仿宋" w:cs="仿宋" w:hint="eastAsia"/>
          <w:sz w:val="32"/>
          <w:szCs w:val="32"/>
        </w:rPr>
        <w:t>85%</w:t>
      </w:r>
      <w:r>
        <w:rPr>
          <w:rFonts w:ascii="仿宋" w:eastAsia="仿宋" w:hAnsi="仿宋" w:cs="仿宋" w:hint="eastAsia"/>
          <w:sz w:val="32"/>
          <w:szCs w:val="32"/>
        </w:rPr>
        <w:t>，在省直属机关综合治理考核中被评定为优胜单位，省司法系统总体运行平稳。</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总体来看，</w:t>
      </w:r>
      <w:bookmarkStart w:id="2" w:name="_Hlk10025916"/>
      <w:r>
        <w:rPr>
          <w:rFonts w:ascii="仿宋" w:eastAsia="仿宋" w:hAnsi="仿宋" w:cs="仿宋" w:hint="eastAsia"/>
          <w:sz w:val="32"/>
          <w:szCs w:val="32"/>
        </w:rPr>
        <w:t>省司法厅较好地完成了</w:t>
      </w:r>
      <w:r>
        <w:rPr>
          <w:rFonts w:ascii="仿宋" w:eastAsia="仿宋" w:hAnsi="仿宋" w:cs="仿宋" w:hint="eastAsia"/>
          <w:sz w:val="32"/>
          <w:szCs w:val="32"/>
        </w:rPr>
        <w:t>2019</w:t>
      </w:r>
      <w:r>
        <w:rPr>
          <w:rFonts w:ascii="仿宋" w:eastAsia="仿宋" w:hAnsi="仿宋" w:cs="仿宋" w:hint="eastAsia"/>
          <w:sz w:val="32"/>
          <w:szCs w:val="32"/>
        </w:rPr>
        <w:t>年度项目绩效目标。</w:t>
      </w:r>
      <w:bookmarkEnd w:id="2"/>
      <w:r>
        <w:rPr>
          <w:rFonts w:ascii="仿宋" w:eastAsia="仿宋" w:hAnsi="仿宋" w:cs="仿宋" w:hint="eastAsia"/>
          <w:sz w:val="32"/>
          <w:szCs w:val="32"/>
        </w:rPr>
        <w:t>项目绩效自评得分</w:t>
      </w:r>
      <w:r>
        <w:rPr>
          <w:rFonts w:ascii="仿宋" w:eastAsia="仿宋" w:hAnsi="仿宋" w:cs="仿宋" w:hint="eastAsia"/>
          <w:sz w:val="32"/>
          <w:szCs w:val="32"/>
        </w:rPr>
        <w:t>91.98</w:t>
      </w:r>
      <w:r>
        <w:rPr>
          <w:rFonts w:ascii="仿宋" w:eastAsia="仿宋" w:hAnsi="仿宋" w:cs="仿宋" w:hint="eastAsia"/>
          <w:sz w:val="32"/>
          <w:szCs w:val="32"/>
        </w:rPr>
        <w:t>分，自评等级为“优”。</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（一）资金投入情况分析</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、项目资金到位情况分析</w:t>
      </w:r>
    </w:p>
    <w:p w:rsidR="006E5010" w:rsidRDefault="00FD080A">
      <w:pPr>
        <w:spacing w:line="560" w:lineRule="exact"/>
        <w:ind w:firstLineChars="200" w:firstLine="640"/>
        <w:rPr>
          <w:rFonts w:ascii="仿宋" w:eastAsia="仿宋" w:hAnsi="仿宋" w:cs="仿宋"/>
          <w:sz w:val="32"/>
          <w:szCs w:val="32"/>
        </w:rPr>
      </w:pPr>
      <w:bookmarkStart w:id="3" w:name="_Hlk10020066"/>
      <w:r>
        <w:rPr>
          <w:rFonts w:ascii="仿宋" w:eastAsia="仿宋" w:hAnsi="仿宋" w:cs="仿宋" w:hint="eastAsia"/>
          <w:sz w:val="32"/>
          <w:szCs w:val="32"/>
        </w:rPr>
        <w:t>2019</w:t>
      </w:r>
      <w:r>
        <w:rPr>
          <w:rFonts w:ascii="仿宋" w:eastAsia="仿宋" w:hAnsi="仿宋" w:cs="仿宋" w:hint="eastAsia"/>
          <w:sz w:val="32"/>
          <w:szCs w:val="32"/>
        </w:rPr>
        <w:t>年项目预算</w:t>
      </w:r>
      <w:r>
        <w:rPr>
          <w:rFonts w:ascii="仿宋" w:eastAsia="仿宋" w:hAnsi="仿宋" w:cs="仿宋" w:hint="eastAsia"/>
          <w:sz w:val="32"/>
          <w:szCs w:val="32"/>
        </w:rPr>
        <w:t>547.00</w:t>
      </w:r>
      <w:r>
        <w:rPr>
          <w:rFonts w:ascii="仿宋" w:eastAsia="仿宋" w:hAnsi="仿宋" w:cs="仿宋" w:hint="eastAsia"/>
          <w:sz w:val="32"/>
          <w:szCs w:val="32"/>
        </w:rPr>
        <w:t>万元，当年实际到位资金</w:t>
      </w:r>
      <w:r>
        <w:rPr>
          <w:rFonts w:ascii="仿宋" w:eastAsia="仿宋" w:hAnsi="仿宋" w:cs="仿宋" w:hint="eastAsia"/>
          <w:sz w:val="32"/>
          <w:szCs w:val="32"/>
        </w:rPr>
        <w:t>547.00</w:t>
      </w:r>
      <w:r>
        <w:rPr>
          <w:rFonts w:ascii="仿宋" w:eastAsia="仿宋" w:hAnsi="仿宋" w:cs="仿宋" w:hint="eastAsia"/>
          <w:sz w:val="32"/>
          <w:szCs w:val="32"/>
        </w:rPr>
        <w:t>万元，资金到位率</w:t>
      </w:r>
      <w:r>
        <w:rPr>
          <w:rFonts w:ascii="仿宋" w:eastAsia="仿宋" w:hAnsi="仿宋" w:cs="仿宋" w:hint="eastAsia"/>
          <w:sz w:val="32"/>
          <w:szCs w:val="32"/>
        </w:rPr>
        <w:t>100%</w:t>
      </w:r>
      <w:r>
        <w:rPr>
          <w:rFonts w:ascii="仿宋" w:eastAsia="仿宋" w:hAnsi="仿宋" w:cs="仿宋" w:hint="eastAsia"/>
          <w:sz w:val="32"/>
          <w:szCs w:val="32"/>
        </w:rPr>
        <w:t>。</w:t>
      </w:r>
    </w:p>
    <w:p w:rsidR="006E5010" w:rsidRDefault="00FD080A">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2</w:t>
      </w:r>
      <w:r>
        <w:rPr>
          <w:rFonts w:ascii="仿宋" w:eastAsia="仿宋" w:hAnsi="仿宋" w:cs="仿宋" w:hint="eastAsia"/>
          <w:b/>
          <w:sz w:val="32"/>
          <w:szCs w:val="32"/>
        </w:rPr>
        <w:t>、项目预算执行情况分析</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100%</w:t>
      </w:r>
      <w:r>
        <w:rPr>
          <w:rFonts w:ascii="仿宋" w:eastAsia="仿宋" w:hAnsi="仿宋" w:cs="仿宋" w:hint="eastAsia"/>
          <w:sz w:val="32"/>
          <w:szCs w:val="32"/>
        </w:rPr>
        <w:t>，设定分值</w:t>
      </w:r>
      <w:r>
        <w:rPr>
          <w:rFonts w:ascii="仿宋" w:eastAsia="仿宋" w:hAnsi="仿宋" w:cs="仿宋" w:hint="eastAsia"/>
          <w:sz w:val="32"/>
          <w:szCs w:val="32"/>
        </w:rPr>
        <w:t>20</w:t>
      </w:r>
      <w:r>
        <w:rPr>
          <w:rFonts w:ascii="仿宋" w:eastAsia="仿宋" w:hAnsi="仿宋" w:cs="仿宋" w:hint="eastAsia"/>
          <w:sz w:val="32"/>
          <w:szCs w:val="32"/>
        </w:rPr>
        <w:t>分。</w:t>
      </w:r>
      <w:r>
        <w:rPr>
          <w:rFonts w:ascii="仿宋" w:eastAsia="仿宋" w:hAnsi="仿宋" w:cs="仿宋" w:hint="eastAsia"/>
          <w:sz w:val="32"/>
          <w:szCs w:val="32"/>
        </w:rPr>
        <w:t>2019</w:t>
      </w:r>
      <w:r>
        <w:rPr>
          <w:rFonts w:ascii="仿宋" w:eastAsia="仿宋" w:hAnsi="仿宋" w:cs="仿宋" w:hint="eastAsia"/>
          <w:sz w:val="32"/>
          <w:szCs w:val="32"/>
        </w:rPr>
        <w:t>年度项目预算为</w:t>
      </w:r>
      <w:r>
        <w:rPr>
          <w:rFonts w:ascii="仿宋" w:eastAsia="仿宋" w:hAnsi="仿宋" w:cs="仿宋" w:hint="eastAsia"/>
          <w:sz w:val="32"/>
          <w:szCs w:val="32"/>
        </w:rPr>
        <w:t>547.00</w:t>
      </w:r>
      <w:r>
        <w:rPr>
          <w:rFonts w:ascii="仿宋" w:eastAsia="仿宋" w:hAnsi="仿宋" w:cs="仿宋" w:hint="eastAsia"/>
          <w:sz w:val="32"/>
          <w:szCs w:val="32"/>
        </w:rPr>
        <w:t>万元，实际支出</w:t>
      </w:r>
      <w:r>
        <w:rPr>
          <w:rFonts w:ascii="仿宋" w:eastAsia="仿宋" w:hAnsi="仿宋" w:cs="仿宋" w:hint="eastAsia"/>
          <w:sz w:val="32"/>
          <w:szCs w:val="32"/>
        </w:rPr>
        <w:t>546.40</w:t>
      </w:r>
      <w:r>
        <w:rPr>
          <w:rFonts w:ascii="仿宋" w:eastAsia="仿宋" w:hAnsi="仿宋" w:cs="仿宋" w:hint="eastAsia"/>
          <w:sz w:val="32"/>
          <w:szCs w:val="32"/>
        </w:rPr>
        <w:t>万元，预算执行率为</w:t>
      </w:r>
      <w:r>
        <w:rPr>
          <w:rFonts w:ascii="仿宋" w:eastAsia="仿宋" w:hAnsi="仿宋" w:cs="仿宋" w:hint="eastAsia"/>
          <w:sz w:val="32"/>
          <w:szCs w:val="32"/>
        </w:rPr>
        <w:t>99.89%</w:t>
      </w:r>
      <w:r>
        <w:rPr>
          <w:rFonts w:ascii="仿宋" w:eastAsia="仿宋" w:hAnsi="仿宋" w:cs="仿宋" w:hint="eastAsia"/>
          <w:sz w:val="32"/>
          <w:szCs w:val="32"/>
        </w:rPr>
        <w:t>，得分</w:t>
      </w:r>
      <w:r>
        <w:rPr>
          <w:rFonts w:ascii="仿宋" w:eastAsia="仿宋" w:hAnsi="仿宋" w:cs="仿宋" w:hint="eastAsia"/>
          <w:sz w:val="32"/>
          <w:szCs w:val="32"/>
        </w:rPr>
        <w:t>19.98</w:t>
      </w:r>
      <w:r>
        <w:rPr>
          <w:rFonts w:ascii="仿宋" w:eastAsia="仿宋" w:hAnsi="仿宋" w:cs="仿宋" w:hint="eastAsia"/>
          <w:sz w:val="32"/>
          <w:szCs w:val="32"/>
        </w:rPr>
        <w:t>分，指标执行偏差率为</w:t>
      </w:r>
      <w:r>
        <w:rPr>
          <w:rFonts w:ascii="仿宋" w:eastAsia="仿宋" w:hAnsi="仿宋" w:cs="仿宋" w:hint="eastAsia"/>
          <w:sz w:val="32"/>
          <w:szCs w:val="32"/>
        </w:rPr>
        <w:t>-0.11%</w:t>
      </w:r>
      <w:r>
        <w:rPr>
          <w:rFonts w:ascii="仿宋" w:eastAsia="仿宋" w:hAnsi="仿宋" w:cs="仿宋" w:hint="eastAsia"/>
          <w:sz w:val="32"/>
          <w:szCs w:val="32"/>
        </w:rPr>
        <w:t>。预算执行总体较好，具体情况如下表所示：</w:t>
      </w:r>
    </w:p>
    <w:tbl>
      <w:tblPr>
        <w:tblpPr w:leftFromText="180" w:rightFromText="180" w:vertAnchor="text" w:horzAnchor="page" w:tblpX="2216" w:tblpY="198"/>
        <w:tblOverlap w:val="never"/>
        <w:tblW w:w="7849" w:type="dxa"/>
        <w:tblLayout w:type="fixed"/>
        <w:tblCellMar>
          <w:left w:w="0" w:type="dxa"/>
          <w:right w:w="0" w:type="dxa"/>
        </w:tblCellMar>
        <w:tblLook w:val="04A0" w:firstRow="1" w:lastRow="0" w:firstColumn="1" w:lastColumn="0" w:noHBand="0" w:noVBand="1"/>
      </w:tblPr>
      <w:tblGrid>
        <w:gridCol w:w="2088"/>
        <w:gridCol w:w="1536"/>
        <w:gridCol w:w="1344"/>
        <w:gridCol w:w="1440"/>
        <w:gridCol w:w="1441"/>
      </w:tblGrid>
      <w:tr w:rsidR="006E5010">
        <w:trPr>
          <w:trHeight w:val="312"/>
        </w:trPr>
        <w:tc>
          <w:tcPr>
            <w:tcW w:w="7849" w:type="dxa"/>
            <w:gridSpan w:val="5"/>
            <w:tcBorders>
              <w:top w:val="nil"/>
              <w:left w:val="nil"/>
              <w:bottom w:val="nil"/>
              <w:right w:val="nil"/>
            </w:tcBorders>
            <w:shd w:val="clear" w:color="auto" w:fill="auto"/>
            <w:noWrap/>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8"/>
                <w:szCs w:val="28"/>
              </w:rPr>
              <w:t>项目支出明细表</w:t>
            </w:r>
          </w:p>
        </w:tc>
      </w:tr>
      <w:tr w:rsidR="006E5010">
        <w:trPr>
          <w:trHeight w:val="288"/>
        </w:trPr>
        <w:tc>
          <w:tcPr>
            <w:tcW w:w="2088" w:type="dxa"/>
            <w:tcBorders>
              <w:top w:val="nil"/>
              <w:left w:val="nil"/>
              <w:bottom w:val="nil"/>
              <w:right w:val="nil"/>
            </w:tcBorders>
            <w:shd w:val="clear" w:color="auto" w:fill="auto"/>
            <w:noWrap/>
            <w:tcMar>
              <w:top w:w="12" w:type="dxa"/>
              <w:left w:w="12" w:type="dxa"/>
              <w:right w:w="12" w:type="dxa"/>
            </w:tcMar>
            <w:vAlign w:val="center"/>
          </w:tcPr>
          <w:p w:rsidR="006E5010" w:rsidRDefault="00FD080A">
            <w:pPr>
              <w:widowControl/>
              <w:jc w:val="left"/>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单位：</w:t>
            </w:r>
            <w:r>
              <w:rPr>
                <w:rStyle w:val="font71"/>
                <w:rFonts w:ascii="仿宋" w:eastAsia="仿宋" w:hAnsi="仿宋" w:cs="仿宋" w:hint="default"/>
                <w:b/>
                <w:bCs/>
              </w:rPr>
              <w:t>万元</w:t>
            </w:r>
          </w:p>
        </w:tc>
        <w:tc>
          <w:tcPr>
            <w:tcW w:w="1536" w:type="dxa"/>
            <w:tcBorders>
              <w:top w:val="nil"/>
              <w:left w:val="nil"/>
              <w:bottom w:val="nil"/>
              <w:right w:val="nil"/>
            </w:tcBorders>
            <w:shd w:val="clear" w:color="auto" w:fill="auto"/>
            <w:noWrap/>
            <w:tcMar>
              <w:top w:w="12" w:type="dxa"/>
              <w:left w:w="12" w:type="dxa"/>
              <w:right w:w="12" w:type="dxa"/>
            </w:tcMar>
            <w:vAlign w:val="center"/>
          </w:tcPr>
          <w:p w:rsidR="006E5010" w:rsidRDefault="006E5010">
            <w:pPr>
              <w:rPr>
                <w:rFonts w:ascii="仿宋" w:eastAsia="仿宋" w:hAnsi="仿宋" w:cs="仿宋"/>
                <w:color w:val="000000"/>
                <w:sz w:val="20"/>
                <w:szCs w:val="20"/>
              </w:rPr>
            </w:pPr>
          </w:p>
        </w:tc>
        <w:tc>
          <w:tcPr>
            <w:tcW w:w="1344" w:type="dxa"/>
            <w:tcBorders>
              <w:top w:val="nil"/>
              <w:left w:val="nil"/>
              <w:bottom w:val="nil"/>
              <w:right w:val="nil"/>
            </w:tcBorders>
            <w:shd w:val="clear" w:color="auto" w:fill="auto"/>
            <w:noWrap/>
            <w:tcMar>
              <w:top w:w="12" w:type="dxa"/>
              <w:left w:w="12" w:type="dxa"/>
              <w:right w:w="12" w:type="dxa"/>
            </w:tcMar>
            <w:vAlign w:val="center"/>
          </w:tcPr>
          <w:p w:rsidR="006E5010" w:rsidRDefault="006E5010">
            <w:pPr>
              <w:rPr>
                <w:rFonts w:ascii="仿宋" w:eastAsia="仿宋" w:hAnsi="仿宋" w:cs="仿宋"/>
                <w:color w:val="000000"/>
                <w:sz w:val="20"/>
                <w:szCs w:val="20"/>
              </w:rPr>
            </w:pPr>
          </w:p>
        </w:tc>
        <w:tc>
          <w:tcPr>
            <w:tcW w:w="1440" w:type="dxa"/>
            <w:tcBorders>
              <w:top w:val="nil"/>
              <w:left w:val="nil"/>
              <w:bottom w:val="nil"/>
              <w:right w:val="nil"/>
            </w:tcBorders>
            <w:shd w:val="clear" w:color="auto" w:fill="auto"/>
            <w:noWrap/>
            <w:tcMar>
              <w:top w:w="12" w:type="dxa"/>
              <w:left w:w="12" w:type="dxa"/>
              <w:right w:w="12" w:type="dxa"/>
            </w:tcMar>
            <w:vAlign w:val="center"/>
          </w:tcPr>
          <w:p w:rsidR="006E5010" w:rsidRDefault="006E5010">
            <w:pPr>
              <w:rPr>
                <w:rFonts w:ascii="仿宋" w:eastAsia="仿宋" w:hAnsi="仿宋" w:cs="仿宋"/>
                <w:color w:val="000000"/>
                <w:sz w:val="20"/>
                <w:szCs w:val="20"/>
              </w:rPr>
            </w:pPr>
          </w:p>
        </w:tc>
        <w:tc>
          <w:tcPr>
            <w:tcW w:w="1441" w:type="dxa"/>
            <w:tcBorders>
              <w:top w:val="nil"/>
              <w:left w:val="nil"/>
              <w:bottom w:val="nil"/>
              <w:right w:val="nil"/>
            </w:tcBorders>
            <w:shd w:val="clear" w:color="auto" w:fill="auto"/>
            <w:noWrap/>
            <w:tcMar>
              <w:top w:w="12" w:type="dxa"/>
              <w:left w:w="12" w:type="dxa"/>
              <w:right w:w="12" w:type="dxa"/>
            </w:tcMar>
            <w:vAlign w:val="center"/>
          </w:tcPr>
          <w:p w:rsidR="006E5010" w:rsidRDefault="006E5010">
            <w:pPr>
              <w:rPr>
                <w:rFonts w:ascii="仿宋" w:eastAsia="仿宋" w:hAnsi="仿宋" w:cs="仿宋"/>
                <w:color w:val="000000"/>
                <w:sz w:val="20"/>
                <w:szCs w:val="20"/>
              </w:rPr>
            </w:pPr>
          </w:p>
        </w:tc>
      </w:tr>
      <w:tr w:rsidR="006E5010">
        <w:trPr>
          <w:trHeight w:val="568"/>
        </w:trPr>
        <w:tc>
          <w:tcPr>
            <w:tcW w:w="2088" w:type="dxa"/>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项</w:t>
            </w:r>
            <w:r>
              <w:rPr>
                <w:rFonts w:ascii="仿宋" w:eastAsia="仿宋" w:hAnsi="仿宋" w:cs="仿宋" w:hint="eastAsia"/>
                <w:b/>
                <w:color w:val="000000"/>
                <w:kern w:val="0"/>
                <w:sz w:val="24"/>
              </w:rPr>
              <w:t xml:space="preserve">  </w:t>
            </w:r>
            <w:r>
              <w:rPr>
                <w:rFonts w:ascii="仿宋" w:eastAsia="仿宋" w:hAnsi="仿宋" w:cs="仿宋" w:hint="eastAsia"/>
                <w:b/>
                <w:color w:val="000000"/>
                <w:kern w:val="0"/>
                <w:sz w:val="24"/>
              </w:rPr>
              <w:t>目</w:t>
            </w:r>
          </w:p>
        </w:tc>
        <w:tc>
          <w:tcPr>
            <w:tcW w:w="1536"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调整后预算数</w:t>
            </w:r>
          </w:p>
        </w:tc>
        <w:tc>
          <w:tcPr>
            <w:tcW w:w="1344"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实际执行数</w:t>
            </w:r>
          </w:p>
        </w:tc>
        <w:tc>
          <w:tcPr>
            <w:tcW w:w="1440"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差异数</w:t>
            </w:r>
          </w:p>
        </w:tc>
        <w:tc>
          <w:tcPr>
            <w:tcW w:w="1441"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预算执行率</w:t>
            </w:r>
          </w:p>
        </w:tc>
      </w:tr>
      <w:tr w:rsidR="006E5010">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办公经费</w:t>
            </w:r>
          </w:p>
        </w:tc>
        <w:tc>
          <w:tcPr>
            <w:tcW w:w="153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5.00 </w:t>
            </w:r>
          </w:p>
        </w:tc>
        <w:tc>
          <w:tcPr>
            <w:tcW w:w="13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4.40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-0.60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88.00%</w:t>
            </w:r>
          </w:p>
        </w:tc>
      </w:tr>
      <w:tr w:rsidR="006E5010">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委托业务费</w:t>
            </w:r>
          </w:p>
        </w:tc>
        <w:tc>
          <w:tcPr>
            <w:tcW w:w="153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270.00 </w:t>
            </w:r>
          </w:p>
        </w:tc>
        <w:tc>
          <w:tcPr>
            <w:tcW w:w="13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270.00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6E5010">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公车运行维护费</w:t>
            </w:r>
          </w:p>
        </w:tc>
        <w:tc>
          <w:tcPr>
            <w:tcW w:w="153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32.00 </w:t>
            </w:r>
          </w:p>
        </w:tc>
        <w:tc>
          <w:tcPr>
            <w:tcW w:w="13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32.00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6E5010">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其他商品和服务支出</w:t>
            </w:r>
          </w:p>
        </w:tc>
        <w:tc>
          <w:tcPr>
            <w:tcW w:w="153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240.00 </w:t>
            </w:r>
          </w:p>
        </w:tc>
        <w:tc>
          <w:tcPr>
            <w:tcW w:w="13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240.00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6E5010">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E5010" w:rsidRDefault="006E5010">
            <w:pPr>
              <w:widowControl/>
              <w:jc w:val="center"/>
              <w:textAlignment w:val="center"/>
              <w:rPr>
                <w:rFonts w:ascii="仿宋" w:eastAsia="仿宋" w:hAnsi="仿宋" w:cs="仿宋"/>
                <w:b/>
                <w:color w:val="000000"/>
                <w:kern w:val="0"/>
                <w:sz w:val="24"/>
              </w:rPr>
            </w:pPr>
          </w:p>
        </w:tc>
        <w:tc>
          <w:tcPr>
            <w:tcW w:w="1536"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6E5010" w:rsidRDefault="006E5010">
            <w:pPr>
              <w:widowControl/>
              <w:jc w:val="right"/>
              <w:textAlignment w:val="center"/>
              <w:rPr>
                <w:rFonts w:ascii="仿宋" w:eastAsia="仿宋" w:hAnsi="仿宋" w:cs="仿宋"/>
                <w:b/>
                <w:color w:val="000000"/>
                <w:kern w:val="0"/>
                <w:sz w:val="24"/>
              </w:rPr>
            </w:pPr>
          </w:p>
        </w:tc>
        <w:tc>
          <w:tcPr>
            <w:tcW w:w="13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6E5010">
            <w:pPr>
              <w:widowControl/>
              <w:jc w:val="right"/>
              <w:textAlignment w:val="center"/>
              <w:rPr>
                <w:rFonts w:ascii="仿宋" w:eastAsia="仿宋" w:hAnsi="仿宋" w:cs="仿宋"/>
                <w:b/>
                <w:color w:val="000000"/>
                <w:kern w:val="0"/>
                <w:sz w:val="24"/>
              </w:rPr>
            </w:pP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6E5010">
            <w:pPr>
              <w:widowControl/>
              <w:jc w:val="right"/>
              <w:textAlignment w:val="center"/>
              <w:rPr>
                <w:rFonts w:ascii="仿宋" w:eastAsia="仿宋" w:hAnsi="仿宋" w:cs="仿宋"/>
                <w:b/>
                <w:color w:val="000000"/>
                <w:kern w:val="0"/>
                <w:sz w:val="24"/>
              </w:rPr>
            </w:pP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6E5010">
            <w:pPr>
              <w:widowControl/>
              <w:jc w:val="right"/>
              <w:textAlignment w:val="center"/>
              <w:rPr>
                <w:rFonts w:ascii="仿宋" w:eastAsia="仿宋" w:hAnsi="仿宋" w:cs="仿宋"/>
                <w:b/>
                <w:color w:val="000000"/>
                <w:kern w:val="0"/>
                <w:sz w:val="24"/>
              </w:rPr>
            </w:pPr>
          </w:p>
        </w:tc>
      </w:tr>
      <w:tr w:rsidR="006E5010">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合</w:t>
            </w:r>
            <w:r>
              <w:rPr>
                <w:rFonts w:ascii="仿宋" w:eastAsia="仿宋" w:hAnsi="仿宋" w:cs="仿宋" w:hint="eastAsia"/>
                <w:b/>
                <w:color w:val="000000"/>
                <w:kern w:val="0"/>
                <w:sz w:val="24"/>
              </w:rPr>
              <w:t xml:space="preserve">  </w:t>
            </w:r>
            <w:r>
              <w:rPr>
                <w:rFonts w:ascii="仿宋" w:eastAsia="仿宋" w:hAnsi="仿宋" w:cs="仿宋" w:hint="eastAsia"/>
                <w:b/>
                <w:color w:val="000000"/>
                <w:kern w:val="0"/>
                <w:sz w:val="24"/>
              </w:rPr>
              <w:t>计</w:t>
            </w:r>
          </w:p>
        </w:tc>
        <w:tc>
          <w:tcPr>
            <w:tcW w:w="1536"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6E5010" w:rsidRDefault="00FD080A">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547.00 </w:t>
            </w:r>
          </w:p>
        </w:tc>
        <w:tc>
          <w:tcPr>
            <w:tcW w:w="13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546.40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-0.60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6E5010" w:rsidRDefault="00FD080A">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99.89%</w:t>
            </w:r>
          </w:p>
        </w:tc>
      </w:tr>
    </w:tbl>
    <w:bookmarkEnd w:id="3"/>
    <w:p w:rsidR="006E5010" w:rsidRDefault="00FD080A">
      <w:pPr>
        <w:pStyle w:val="BodyTextFirstIndent21"/>
        <w:spacing w:line="560" w:lineRule="exact"/>
        <w:ind w:firstLine="64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、项目资金管理情况分析</w:t>
      </w:r>
    </w:p>
    <w:p w:rsidR="006E5010" w:rsidRDefault="00FD080A">
      <w:pPr>
        <w:pStyle w:val="BodyTextFirstIndent21"/>
        <w:spacing w:line="560" w:lineRule="exact"/>
        <w:ind w:firstLine="640"/>
        <w:rPr>
          <w:rFonts w:ascii="仿宋" w:eastAsia="仿宋" w:hAnsi="仿宋" w:cs="仿宋"/>
          <w:sz w:val="32"/>
          <w:szCs w:val="32"/>
        </w:rPr>
      </w:pPr>
      <w:bookmarkStart w:id="4" w:name="_Hlk10024281"/>
      <w:r>
        <w:rPr>
          <w:rFonts w:ascii="仿宋" w:eastAsia="仿宋" w:hAnsi="仿宋" w:cs="仿宋" w:hint="eastAsia"/>
          <w:sz w:val="32"/>
          <w:szCs w:val="32"/>
        </w:rPr>
        <w:t>省司法厅十分重视财务管理工作，严格遵守国家财经法</w:t>
      </w:r>
      <w:r>
        <w:rPr>
          <w:rFonts w:ascii="仿宋" w:eastAsia="仿宋" w:hAnsi="仿宋" w:cs="仿宋" w:hint="eastAsia"/>
          <w:sz w:val="32"/>
          <w:szCs w:val="32"/>
        </w:rPr>
        <w:lastRenderedPageBreak/>
        <w:t>律法规，认真执行省直行政事业单位财务收支管理相关规定，资金管理情况较好。一是财务管理制度健全有效。近几年，省司法厅结合自身实际修订印发了《湖北省司法厅财务管理办法》《湖北省司法厅会议费管理实施办法》《湖北省司法厅培训费管理实施办法》等财务管理制度，内部管理制度体系建设持续加强。二是资金使用合规。资金使用范围、对象明确，资金支付程序合规、手续完备，重大开支经过厅党组和厅办公会事前集体决策。三是资金支出真实、有效，无截留、挤占、挪用和虚列支出等情况。四是资金报账凭</w:t>
      </w:r>
      <w:r>
        <w:rPr>
          <w:rFonts w:ascii="仿宋" w:eastAsia="仿宋" w:hAnsi="仿宋" w:cs="仿宋" w:hint="eastAsia"/>
          <w:sz w:val="32"/>
          <w:szCs w:val="32"/>
        </w:rPr>
        <w:t>据及财务记录真实、完整、合规。</w:t>
      </w:r>
    </w:p>
    <w:bookmarkEnd w:id="4"/>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（二）绩效目标完成情况分析</w:t>
      </w:r>
    </w:p>
    <w:p w:rsidR="006E5010" w:rsidRDefault="00FD080A">
      <w:pPr>
        <w:pStyle w:val="BodyTextFirstIndent21"/>
        <w:spacing w:line="560" w:lineRule="exact"/>
        <w:ind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、产出指标完成情况分析</w:t>
      </w:r>
    </w:p>
    <w:p w:rsidR="006E5010" w:rsidRDefault="00FD080A">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评价设定分值</w:t>
      </w:r>
      <w:r>
        <w:rPr>
          <w:rFonts w:ascii="仿宋" w:eastAsia="仿宋" w:hAnsi="仿宋" w:cs="仿宋" w:hint="eastAsia"/>
          <w:sz w:val="32"/>
          <w:szCs w:val="32"/>
        </w:rPr>
        <w:t>60</w:t>
      </w:r>
      <w:r>
        <w:rPr>
          <w:rFonts w:ascii="仿宋" w:eastAsia="仿宋" w:hAnsi="仿宋" w:cs="仿宋" w:hint="eastAsia"/>
          <w:sz w:val="32"/>
          <w:szCs w:val="32"/>
        </w:rPr>
        <w:t>分，综合评价得分</w:t>
      </w:r>
      <w:r>
        <w:rPr>
          <w:rFonts w:ascii="仿宋" w:eastAsia="仿宋" w:hAnsi="仿宋" w:cs="仿宋" w:hint="eastAsia"/>
          <w:sz w:val="32"/>
          <w:szCs w:val="32"/>
        </w:rPr>
        <w:t>52</w:t>
      </w:r>
      <w:r>
        <w:rPr>
          <w:rFonts w:ascii="仿宋" w:eastAsia="仿宋" w:hAnsi="仿宋" w:cs="仿宋" w:hint="eastAsia"/>
          <w:sz w:val="32"/>
          <w:szCs w:val="32"/>
        </w:rPr>
        <w:t>分，得分率</w:t>
      </w:r>
      <w:r>
        <w:rPr>
          <w:rFonts w:ascii="仿宋" w:eastAsia="仿宋" w:hAnsi="仿宋" w:cs="仿宋" w:hint="eastAsia"/>
          <w:sz w:val="32"/>
          <w:szCs w:val="32"/>
        </w:rPr>
        <w:t>86.67%</w:t>
      </w:r>
      <w:r>
        <w:rPr>
          <w:rFonts w:ascii="仿宋" w:eastAsia="仿宋" w:hAnsi="仿宋" w:cs="仿宋" w:hint="eastAsia"/>
          <w:sz w:val="32"/>
          <w:szCs w:val="32"/>
        </w:rPr>
        <w:t>。具体分析如下：</w:t>
      </w:r>
    </w:p>
    <w:p w:rsidR="006E5010" w:rsidRDefault="00FD080A">
      <w:pPr>
        <w:spacing w:line="560" w:lineRule="exact"/>
        <w:ind w:firstLineChars="200" w:firstLine="643"/>
        <w:rPr>
          <w:rFonts w:ascii="仿宋" w:eastAsia="仿宋" w:hAnsi="仿宋" w:cs="仿宋"/>
          <w:b/>
          <w:bCs/>
          <w:sz w:val="32"/>
          <w:szCs w:val="32"/>
        </w:rPr>
      </w:pPr>
      <w:bookmarkStart w:id="5" w:name="_Hlk10021040"/>
      <w:r>
        <w:rPr>
          <w:rFonts w:ascii="仿宋" w:eastAsia="仿宋" w:hAnsi="仿宋" w:cs="仿宋" w:hint="eastAsia"/>
          <w:b/>
          <w:bCs/>
          <w:sz w:val="32"/>
          <w:szCs w:val="32"/>
        </w:rPr>
        <w:t>（</w:t>
      </w:r>
      <w:r>
        <w:rPr>
          <w:rFonts w:ascii="仿宋" w:eastAsia="仿宋" w:hAnsi="仿宋" w:cs="仿宋" w:hint="eastAsia"/>
          <w:b/>
          <w:bCs/>
          <w:sz w:val="32"/>
          <w:szCs w:val="32"/>
        </w:rPr>
        <w:t>1</w:t>
      </w:r>
      <w:r>
        <w:rPr>
          <w:rFonts w:ascii="仿宋" w:eastAsia="仿宋" w:hAnsi="仿宋" w:cs="仿宋" w:hint="eastAsia"/>
          <w:b/>
          <w:bCs/>
          <w:sz w:val="32"/>
          <w:szCs w:val="32"/>
        </w:rPr>
        <w:t>）重要时间节点的综治信访安全维稳督办次数</w:t>
      </w:r>
    </w:p>
    <w:bookmarkEnd w:id="5"/>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38</w:t>
      </w:r>
      <w:r>
        <w:rPr>
          <w:rFonts w:ascii="仿宋" w:eastAsia="仿宋" w:hAnsi="仿宋" w:cs="仿宋" w:hint="eastAsia"/>
          <w:sz w:val="32"/>
          <w:szCs w:val="32"/>
        </w:rPr>
        <w:t>次，设定分值</w:t>
      </w:r>
      <w:r>
        <w:rPr>
          <w:rFonts w:ascii="仿宋" w:eastAsia="仿宋" w:hAnsi="仿宋" w:cs="仿宋" w:hint="eastAsia"/>
          <w:sz w:val="32"/>
          <w:szCs w:val="32"/>
        </w:rPr>
        <w:t>10</w:t>
      </w:r>
      <w:r>
        <w:rPr>
          <w:rFonts w:ascii="仿宋" w:eastAsia="仿宋" w:hAnsi="仿宋" w:cs="仿宋" w:hint="eastAsia"/>
          <w:sz w:val="32"/>
          <w:szCs w:val="32"/>
        </w:rPr>
        <w:t>分。指标</w:t>
      </w:r>
      <w:bookmarkStart w:id="6" w:name="_Hlk10021047"/>
      <w:r>
        <w:rPr>
          <w:rFonts w:ascii="仿宋" w:eastAsia="仿宋" w:hAnsi="仿宋" w:cs="仿宋" w:hint="eastAsia"/>
          <w:sz w:val="32"/>
          <w:szCs w:val="32"/>
        </w:rPr>
        <w:t>完成数值</w:t>
      </w:r>
      <w:r>
        <w:rPr>
          <w:rFonts w:ascii="仿宋" w:eastAsia="仿宋" w:hAnsi="仿宋" w:cs="仿宋" w:hint="eastAsia"/>
          <w:sz w:val="32"/>
          <w:szCs w:val="32"/>
        </w:rPr>
        <w:t>42</w:t>
      </w:r>
      <w:bookmarkEnd w:id="6"/>
      <w:r>
        <w:rPr>
          <w:rFonts w:ascii="仿宋" w:eastAsia="仿宋" w:hAnsi="仿宋" w:cs="仿宋" w:hint="eastAsia"/>
          <w:sz w:val="32"/>
          <w:szCs w:val="32"/>
        </w:rPr>
        <w:t>次，</w:t>
      </w:r>
      <w:bookmarkStart w:id="7" w:name="_Hlk10020933"/>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w:t>
      </w:r>
      <w:bookmarkEnd w:id="7"/>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全年共办理群众来信来访</w:t>
      </w:r>
      <w:r>
        <w:rPr>
          <w:rFonts w:ascii="仿宋" w:eastAsia="仿宋" w:hAnsi="仿宋" w:cs="仿宋" w:hint="eastAsia"/>
          <w:sz w:val="32"/>
          <w:szCs w:val="32"/>
        </w:rPr>
        <w:t>790</w:t>
      </w:r>
      <w:r>
        <w:rPr>
          <w:rFonts w:ascii="仿宋" w:eastAsia="仿宋" w:hAnsi="仿宋" w:cs="仿宋" w:hint="eastAsia"/>
          <w:sz w:val="32"/>
          <w:szCs w:val="32"/>
        </w:rPr>
        <w:t>件次，其中网上信访</w:t>
      </w:r>
      <w:r>
        <w:rPr>
          <w:rFonts w:ascii="仿宋" w:eastAsia="仿宋" w:hAnsi="仿宋" w:cs="仿宋" w:hint="eastAsia"/>
          <w:sz w:val="32"/>
          <w:szCs w:val="32"/>
        </w:rPr>
        <w:t>558</w:t>
      </w:r>
      <w:r>
        <w:rPr>
          <w:rFonts w:ascii="仿宋" w:eastAsia="仿宋" w:hAnsi="仿宋" w:cs="仿宋" w:hint="eastAsia"/>
          <w:sz w:val="32"/>
          <w:szCs w:val="32"/>
        </w:rPr>
        <w:t>件、群众来信</w:t>
      </w:r>
      <w:r>
        <w:rPr>
          <w:rFonts w:ascii="仿宋" w:eastAsia="仿宋" w:hAnsi="仿宋" w:cs="仿宋" w:hint="eastAsia"/>
          <w:sz w:val="32"/>
          <w:szCs w:val="32"/>
        </w:rPr>
        <w:t>210</w:t>
      </w:r>
      <w:r>
        <w:rPr>
          <w:rFonts w:ascii="仿宋" w:eastAsia="仿宋" w:hAnsi="仿宋" w:cs="仿宋" w:hint="eastAsia"/>
          <w:sz w:val="32"/>
          <w:szCs w:val="32"/>
        </w:rPr>
        <w:t>件、接待来访</w:t>
      </w:r>
      <w:r>
        <w:rPr>
          <w:rFonts w:ascii="仿宋" w:eastAsia="仿宋" w:hAnsi="仿宋" w:cs="仿宋" w:hint="eastAsia"/>
          <w:sz w:val="32"/>
          <w:szCs w:val="32"/>
        </w:rPr>
        <w:t>22</w:t>
      </w:r>
      <w:r>
        <w:rPr>
          <w:rFonts w:ascii="仿宋" w:eastAsia="仿宋" w:hAnsi="仿宋" w:cs="仿宋" w:hint="eastAsia"/>
          <w:sz w:val="32"/>
          <w:szCs w:val="32"/>
        </w:rPr>
        <w:t>件。厅机关信访安全工作领导小组定期会商复杂疑难信访案件和历史积案，多件重点信访件得到成功化解或有效落实稳控措施，全年重要时间节点均未发生进京赴省上访事件。</w:t>
      </w:r>
    </w:p>
    <w:p w:rsidR="006E5010" w:rsidRDefault="00FD080A">
      <w:pPr>
        <w:spacing w:line="560" w:lineRule="exact"/>
        <w:ind w:firstLineChars="200" w:firstLine="643"/>
        <w:rPr>
          <w:rFonts w:ascii="仿宋" w:eastAsia="仿宋" w:hAnsi="仿宋" w:cs="仿宋"/>
          <w:b/>
          <w:bCs/>
          <w:sz w:val="32"/>
          <w:szCs w:val="32"/>
        </w:rPr>
      </w:pPr>
      <w:bookmarkStart w:id="8" w:name="_Hlk10021300"/>
      <w:r>
        <w:rPr>
          <w:rFonts w:ascii="仿宋" w:eastAsia="仿宋" w:hAnsi="仿宋" w:cs="仿宋" w:hint="eastAsia"/>
          <w:b/>
          <w:bCs/>
          <w:sz w:val="32"/>
          <w:szCs w:val="32"/>
        </w:rPr>
        <w:t>（</w:t>
      </w:r>
      <w:r>
        <w:rPr>
          <w:rFonts w:ascii="仿宋" w:eastAsia="仿宋" w:hAnsi="仿宋" w:cs="仿宋" w:hint="eastAsia"/>
          <w:b/>
          <w:bCs/>
          <w:sz w:val="32"/>
          <w:szCs w:val="32"/>
        </w:rPr>
        <w:t>2</w:t>
      </w:r>
      <w:r>
        <w:rPr>
          <w:rFonts w:ascii="仿宋" w:eastAsia="仿宋" w:hAnsi="仿宋" w:cs="仿宋" w:hint="eastAsia"/>
          <w:b/>
          <w:bCs/>
          <w:sz w:val="32"/>
          <w:szCs w:val="32"/>
        </w:rPr>
        <w:t>）开展文明创建，廉政文化宣传教育活动次数</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8</w:t>
      </w:r>
      <w:r>
        <w:rPr>
          <w:rFonts w:ascii="仿宋" w:eastAsia="仿宋" w:hAnsi="仿宋" w:cs="仿宋" w:hint="eastAsia"/>
          <w:sz w:val="32"/>
          <w:szCs w:val="32"/>
        </w:rPr>
        <w:t>次，设定分值</w:t>
      </w:r>
      <w:r>
        <w:rPr>
          <w:rFonts w:ascii="仿宋" w:eastAsia="仿宋" w:hAnsi="仿宋" w:cs="仿宋" w:hint="eastAsia"/>
          <w:sz w:val="32"/>
          <w:szCs w:val="32"/>
        </w:rPr>
        <w:t>10</w:t>
      </w:r>
      <w:r>
        <w:rPr>
          <w:rFonts w:ascii="仿宋" w:eastAsia="仿宋" w:hAnsi="仿宋" w:cs="仿宋" w:hint="eastAsia"/>
          <w:sz w:val="32"/>
          <w:szCs w:val="32"/>
        </w:rPr>
        <w:t>分。指标完成数值为</w:t>
      </w:r>
      <w:r>
        <w:rPr>
          <w:rFonts w:ascii="仿宋" w:eastAsia="仿宋" w:hAnsi="仿宋" w:cs="仿宋" w:hint="eastAsia"/>
          <w:sz w:val="32"/>
          <w:szCs w:val="32"/>
        </w:rPr>
        <w:lastRenderedPageBreak/>
        <w:t>8</w:t>
      </w:r>
      <w:r>
        <w:rPr>
          <w:rFonts w:ascii="仿宋" w:eastAsia="仿宋" w:hAnsi="仿宋" w:cs="仿宋" w:hint="eastAsia"/>
          <w:sz w:val="32"/>
          <w:szCs w:val="32"/>
        </w:rPr>
        <w:t>次，</w:t>
      </w:r>
      <w:bookmarkEnd w:id="8"/>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年，厅机关党委组织了</w:t>
      </w:r>
      <w:r>
        <w:rPr>
          <w:rFonts w:ascii="仿宋" w:eastAsia="仿宋" w:hAnsi="仿宋" w:cs="仿宋" w:hint="eastAsia"/>
          <w:sz w:val="32"/>
          <w:szCs w:val="32"/>
        </w:rPr>
        <w:t xml:space="preserve"> </w:t>
      </w:r>
      <w:r>
        <w:rPr>
          <w:rFonts w:ascii="仿宋" w:eastAsia="仿宋" w:hAnsi="仿宋" w:cs="仿宋" w:hint="eastAsia"/>
          <w:sz w:val="32"/>
          <w:szCs w:val="32"/>
        </w:rPr>
        <w:t>“红色经典诵读”、“司法行政大家谈”、“以吴顺发违纪违法案件为戒开展警示教育”等廉政</w:t>
      </w:r>
      <w:r>
        <w:rPr>
          <w:rFonts w:ascii="仿宋" w:eastAsia="仿宋" w:hAnsi="仿宋" w:cs="仿宋" w:hint="eastAsia"/>
          <w:sz w:val="32"/>
          <w:szCs w:val="32"/>
        </w:rPr>
        <w:t>文化宣传教育活动，组织省司法系统</w:t>
      </w:r>
      <w:r>
        <w:rPr>
          <w:rFonts w:ascii="仿宋" w:eastAsia="仿宋" w:hAnsi="仿宋" w:cs="仿宋" w:hint="eastAsia"/>
          <w:sz w:val="32"/>
          <w:szCs w:val="32"/>
        </w:rPr>
        <w:t>1208</w:t>
      </w:r>
      <w:r>
        <w:rPr>
          <w:rFonts w:ascii="仿宋" w:eastAsia="仿宋" w:hAnsi="仿宋" w:cs="仿宋" w:hint="eastAsia"/>
          <w:sz w:val="32"/>
          <w:szCs w:val="32"/>
        </w:rPr>
        <w:t>个党组织、近</w:t>
      </w:r>
      <w:r>
        <w:rPr>
          <w:rFonts w:ascii="仿宋" w:eastAsia="仿宋" w:hAnsi="仿宋" w:cs="仿宋" w:hint="eastAsia"/>
          <w:sz w:val="32"/>
          <w:szCs w:val="32"/>
        </w:rPr>
        <w:t>2</w:t>
      </w:r>
      <w:r>
        <w:rPr>
          <w:rFonts w:ascii="仿宋" w:eastAsia="仿宋" w:hAnsi="仿宋" w:cs="仿宋" w:hint="eastAsia"/>
          <w:sz w:val="32"/>
          <w:szCs w:val="32"/>
        </w:rPr>
        <w:t>万余名党员参加了“党纪法规知识测试”，集中开展了革命传统教育</w:t>
      </w:r>
      <w:r>
        <w:rPr>
          <w:rFonts w:ascii="仿宋" w:eastAsia="仿宋" w:hAnsi="仿宋" w:cs="仿宋" w:hint="eastAsia"/>
          <w:sz w:val="32"/>
          <w:szCs w:val="32"/>
        </w:rPr>
        <w:t>35</w:t>
      </w:r>
      <w:r>
        <w:rPr>
          <w:rFonts w:ascii="仿宋" w:eastAsia="仿宋" w:hAnsi="仿宋" w:cs="仿宋" w:hint="eastAsia"/>
          <w:sz w:val="32"/>
          <w:szCs w:val="32"/>
        </w:rPr>
        <w:t>场次、警示教育</w:t>
      </w:r>
      <w:r>
        <w:rPr>
          <w:rFonts w:ascii="仿宋" w:eastAsia="仿宋" w:hAnsi="仿宋" w:cs="仿宋" w:hint="eastAsia"/>
          <w:sz w:val="32"/>
          <w:szCs w:val="32"/>
        </w:rPr>
        <w:t>47</w:t>
      </w:r>
      <w:r>
        <w:rPr>
          <w:rFonts w:ascii="仿宋" w:eastAsia="仿宋" w:hAnsi="仿宋" w:cs="仿宋" w:hint="eastAsia"/>
          <w:sz w:val="32"/>
          <w:szCs w:val="32"/>
        </w:rPr>
        <w:t>场次，廉政文化宣传教育活动形式多样、内容丰富。</w:t>
      </w:r>
    </w:p>
    <w:p w:rsidR="006E5010" w:rsidRDefault="00FD080A">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3</w:t>
      </w:r>
      <w:r>
        <w:rPr>
          <w:rFonts w:ascii="仿宋" w:eastAsia="仿宋" w:hAnsi="仿宋" w:cs="仿宋" w:hint="eastAsia"/>
          <w:b/>
          <w:bCs/>
          <w:sz w:val="32"/>
          <w:szCs w:val="32"/>
        </w:rPr>
        <w:t>）开展爱国卫生等活动次数</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20</w:t>
      </w:r>
      <w:r>
        <w:rPr>
          <w:rFonts w:ascii="仿宋" w:eastAsia="仿宋" w:hAnsi="仿宋" w:cs="仿宋" w:hint="eastAsia"/>
          <w:sz w:val="32"/>
          <w:szCs w:val="32"/>
        </w:rPr>
        <w:t>次，设定分值</w:t>
      </w:r>
      <w:r>
        <w:rPr>
          <w:rFonts w:ascii="仿宋" w:eastAsia="仿宋" w:hAnsi="仿宋" w:cs="仿宋" w:hint="eastAsia"/>
          <w:sz w:val="32"/>
          <w:szCs w:val="32"/>
        </w:rPr>
        <w:t>10</w:t>
      </w:r>
      <w:r>
        <w:rPr>
          <w:rFonts w:ascii="仿宋" w:eastAsia="仿宋" w:hAnsi="仿宋" w:cs="仿宋" w:hint="eastAsia"/>
          <w:sz w:val="32"/>
          <w:szCs w:val="32"/>
        </w:rPr>
        <w:t>分。指标完成值为</w:t>
      </w:r>
      <w:r>
        <w:rPr>
          <w:rFonts w:ascii="仿宋" w:eastAsia="仿宋" w:hAnsi="仿宋" w:cs="仿宋" w:hint="eastAsia"/>
          <w:sz w:val="32"/>
          <w:szCs w:val="32"/>
        </w:rPr>
        <w:t>33</w:t>
      </w:r>
      <w:r>
        <w:rPr>
          <w:rFonts w:ascii="仿宋" w:eastAsia="仿宋" w:hAnsi="仿宋" w:cs="仿宋" w:hint="eastAsia"/>
          <w:sz w:val="32"/>
          <w:szCs w:val="32"/>
        </w:rPr>
        <w:t>次，指标完成率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年，厅机关开展了办公区、宿舍区、食堂的卫生消毒、白蚁防治、灭“四害”等爱国卫生活动</w:t>
      </w:r>
      <w:r>
        <w:rPr>
          <w:rFonts w:ascii="仿宋" w:eastAsia="仿宋" w:hAnsi="仿宋" w:cs="仿宋" w:hint="eastAsia"/>
          <w:sz w:val="32"/>
          <w:szCs w:val="32"/>
        </w:rPr>
        <w:t>33</w:t>
      </w:r>
      <w:r>
        <w:rPr>
          <w:rFonts w:ascii="仿宋" w:eastAsia="仿宋" w:hAnsi="仿宋" w:cs="仿宋" w:hint="eastAsia"/>
          <w:sz w:val="32"/>
          <w:szCs w:val="32"/>
        </w:rPr>
        <w:t>次，为推进文明、卫生、健康机关建设作出积极的贡献。</w:t>
      </w:r>
    </w:p>
    <w:p w:rsidR="006E5010" w:rsidRDefault="00FD080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4</w:t>
      </w:r>
      <w:r>
        <w:rPr>
          <w:rFonts w:ascii="仿宋" w:eastAsia="仿宋" w:hAnsi="仿宋" w:cs="仿宋" w:hint="eastAsia"/>
          <w:b/>
          <w:bCs/>
          <w:sz w:val="32"/>
          <w:szCs w:val="32"/>
        </w:rPr>
        <w:t>）综治考核</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指标目标为“优胜单位”，</w:t>
      </w:r>
      <w:r>
        <w:rPr>
          <w:rFonts w:ascii="仿宋" w:eastAsia="仿宋" w:hAnsi="仿宋" w:cs="仿宋" w:hint="eastAsia"/>
          <w:sz w:val="32"/>
          <w:szCs w:val="32"/>
        </w:rPr>
        <w:t>设定分值</w:t>
      </w:r>
      <w:r>
        <w:rPr>
          <w:rFonts w:ascii="仿宋" w:eastAsia="仿宋" w:hAnsi="仿宋" w:cs="仿宋" w:hint="eastAsia"/>
          <w:sz w:val="32"/>
          <w:szCs w:val="32"/>
        </w:rPr>
        <w:t>10</w:t>
      </w:r>
      <w:r>
        <w:rPr>
          <w:rFonts w:ascii="仿宋" w:eastAsia="仿宋" w:hAnsi="仿宋" w:cs="仿宋" w:hint="eastAsia"/>
          <w:sz w:val="32"/>
          <w:szCs w:val="32"/>
        </w:rPr>
        <w:t>分。实际被评为“优胜单位”，指标完成率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扫黑除恶工作纵深掘进。司法厅扎实做好专项斗争“第二战场”工作，制发《贯彻落实全国、全省扫黑除恶专项斗争推进会责任分工任务清单》《中央扫黑除恶督导“回头看”反馈意见整改工作方案》，指导全省系统开辟扫黑除恶“第二战场”，监狱、戒毒、社区矫正机关共深挖摸排线索</w:t>
      </w:r>
      <w:r>
        <w:rPr>
          <w:rFonts w:ascii="仿宋" w:eastAsia="仿宋" w:hAnsi="仿宋" w:cs="仿宋" w:hint="eastAsia"/>
          <w:sz w:val="32"/>
          <w:szCs w:val="32"/>
        </w:rPr>
        <w:t>809</w:t>
      </w:r>
      <w:r>
        <w:rPr>
          <w:rFonts w:ascii="仿宋" w:eastAsia="仿宋" w:hAnsi="仿宋" w:cs="仿宋" w:hint="eastAsia"/>
          <w:sz w:val="32"/>
          <w:szCs w:val="32"/>
        </w:rPr>
        <w:t>件。</w:t>
      </w:r>
      <w:r>
        <w:rPr>
          <w:rFonts w:ascii="仿宋" w:eastAsia="仿宋" w:hAnsi="仿宋" w:cs="仿宋" w:hint="eastAsia"/>
          <w:sz w:val="32"/>
          <w:szCs w:val="32"/>
        </w:rPr>
        <w:t>2019</w:t>
      </w:r>
      <w:r>
        <w:rPr>
          <w:rFonts w:ascii="仿宋" w:eastAsia="仿宋" w:hAnsi="仿宋" w:cs="仿宋" w:hint="eastAsia"/>
          <w:sz w:val="32"/>
          <w:szCs w:val="32"/>
        </w:rPr>
        <w:t>年，编发司法行政简报</w:t>
      </w:r>
      <w:r>
        <w:rPr>
          <w:rFonts w:ascii="仿宋" w:eastAsia="仿宋" w:hAnsi="仿宋" w:cs="仿宋" w:hint="eastAsia"/>
          <w:sz w:val="32"/>
          <w:szCs w:val="32"/>
        </w:rPr>
        <w:t>58</w:t>
      </w:r>
      <w:r>
        <w:rPr>
          <w:rFonts w:ascii="仿宋" w:eastAsia="仿宋" w:hAnsi="仿宋" w:cs="仿宋" w:hint="eastAsia"/>
          <w:sz w:val="32"/>
          <w:szCs w:val="32"/>
        </w:rPr>
        <w:t>期、湖北司法要情</w:t>
      </w:r>
      <w:r>
        <w:rPr>
          <w:rFonts w:ascii="仿宋" w:eastAsia="仿宋" w:hAnsi="仿宋" w:cs="仿宋" w:hint="eastAsia"/>
          <w:sz w:val="32"/>
          <w:szCs w:val="32"/>
        </w:rPr>
        <w:t>262</w:t>
      </w:r>
      <w:r>
        <w:rPr>
          <w:rFonts w:ascii="仿宋" w:eastAsia="仿宋" w:hAnsi="仿宋" w:cs="仿宋" w:hint="eastAsia"/>
          <w:sz w:val="32"/>
          <w:szCs w:val="32"/>
        </w:rPr>
        <w:t>期、周报</w:t>
      </w:r>
      <w:r>
        <w:rPr>
          <w:rFonts w:ascii="仿宋" w:eastAsia="仿宋" w:hAnsi="仿宋" w:cs="仿宋" w:hint="eastAsia"/>
          <w:sz w:val="32"/>
          <w:szCs w:val="32"/>
        </w:rPr>
        <w:t>15</w:t>
      </w:r>
      <w:r>
        <w:rPr>
          <w:rFonts w:ascii="仿宋" w:eastAsia="仿宋" w:hAnsi="仿宋" w:cs="仿宋" w:hint="eastAsia"/>
          <w:sz w:val="32"/>
          <w:szCs w:val="32"/>
        </w:rPr>
        <w:t>期；门户网站发布工作信息</w:t>
      </w:r>
      <w:r>
        <w:rPr>
          <w:rFonts w:ascii="仿宋" w:eastAsia="仿宋" w:hAnsi="仿宋" w:cs="仿宋" w:hint="eastAsia"/>
          <w:sz w:val="32"/>
          <w:szCs w:val="32"/>
        </w:rPr>
        <w:t>3000</w:t>
      </w:r>
      <w:r>
        <w:rPr>
          <w:rFonts w:ascii="仿宋" w:eastAsia="仿宋" w:hAnsi="仿宋" w:cs="仿宋" w:hint="eastAsia"/>
          <w:sz w:val="32"/>
          <w:szCs w:val="32"/>
        </w:rPr>
        <w:t>余条，</w:t>
      </w:r>
      <w:r>
        <w:rPr>
          <w:rFonts w:ascii="仿宋" w:eastAsia="仿宋" w:hAnsi="仿宋" w:cs="仿宋" w:hint="eastAsia"/>
          <w:sz w:val="32"/>
          <w:szCs w:val="32"/>
        </w:rPr>
        <w:lastRenderedPageBreak/>
        <w:t>显示屏发布信息</w:t>
      </w:r>
      <w:r>
        <w:rPr>
          <w:rFonts w:ascii="仿宋" w:eastAsia="仿宋" w:hAnsi="仿宋" w:cs="仿宋" w:hint="eastAsia"/>
          <w:sz w:val="32"/>
          <w:szCs w:val="32"/>
        </w:rPr>
        <w:t>200</w:t>
      </w:r>
      <w:r>
        <w:rPr>
          <w:rFonts w:ascii="仿宋" w:eastAsia="仿宋" w:hAnsi="仿宋" w:cs="仿宋" w:hint="eastAsia"/>
          <w:sz w:val="32"/>
          <w:szCs w:val="32"/>
        </w:rPr>
        <w:t>余条；处理机要文电</w:t>
      </w:r>
      <w:r>
        <w:rPr>
          <w:rFonts w:ascii="仿宋" w:eastAsia="仿宋" w:hAnsi="仿宋" w:cs="仿宋" w:hint="eastAsia"/>
          <w:sz w:val="32"/>
          <w:szCs w:val="32"/>
        </w:rPr>
        <w:t>5397</w:t>
      </w:r>
      <w:r>
        <w:rPr>
          <w:rFonts w:ascii="仿宋" w:eastAsia="仿宋" w:hAnsi="仿宋" w:cs="仿宋" w:hint="eastAsia"/>
          <w:sz w:val="32"/>
          <w:szCs w:val="32"/>
        </w:rPr>
        <w:t>件</w:t>
      </w:r>
      <w:r>
        <w:rPr>
          <w:rFonts w:ascii="仿宋" w:eastAsia="仿宋" w:hAnsi="仿宋" w:cs="仿宋" w:hint="eastAsia"/>
          <w:sz w:val="32"/>
          <w:szCs w:val="32"/>
        </w:rPr>
        <w:t>，完成文书档案电子化录入</w:t>
      </w:r>
      <w:r>
        <w:rPr>
          <w:rFonts w:ascii="仿宋" w:eastAsia="仿宋" w:hAnsi="仿宋" w:cs="仿宋" w:hint="eastAsia"/>
          <w:sz w:val="32"/>
          <w:szCs w:val="32"/>
        </w:rPr>
        <w:t>15989</w:t>
      </w:r>
      <w:r>
        <w:rPr>
          <w:rFonts w:ascii="仿宋" w:eastAsia="仿宋" w:hAnsi="仿宋" w:cs="仿宋" w:hint="eastAsia"/>
          <w:sz w:val="32"/>
          <w:szCs w:val="32"/>
        </w:rPr>
        <w:t>件；提供会议保障</w:t>
      </w:r>
      <w:r>
        <w:rPr>
          <w:rFonts w:ascii="仿宋" w:eastAsia="仿宋" w:hAnsi="仿宋" w:cs="仿宋" w:hint="eastAsia"/>
          <w:sz w:val="32"/>
          <w:szCs w:val="32"/>
        </w:rPr>
        <w:t>233</w:t>
      </w:r>
      <w:r>
        <w:rPr>
          <w:rFonts w:ascii="仿宋" w:eastAsia="仿宋" w:hAnsi="仿宋" w:cs="仿宋" w:hint="eastAsia"/>
          <w:sz w:val="32"/>
          <w:szCs w:val="32"/>
        </w:rPr>
        <w:t>次，保障领导会议活动</w:t>
      </w:r>
      <w:r>
        <w:rPr>
          <w:rFonts w:ascii="仿宋" w:eastAsia="仿宋" w:hAnsi="仿宋" w:cs="仿宋" w:hint="eastAsia"/>
          <w:sz w:val="32"/>
          <w:szCs w:val="32"/>
        </w:rPr>
        <w:t>152</w:t>
      </w:r>
      <w:r>
        <w:rPr>
          <w:rFonts w:ascii="仿宋" w:eastAsia="仿宋" w:hAnsi="仿宋" w:cs="仿宋" w:hint="eastAsia"/>
          <w:sz w:val="32"/>
          <w:szCs w:val="32"/>
        </w:rPr>
        <w:t>次；应急公务出车</w:t>
      </w:r>
      <w:r>
        <w:rPr>
          <w:rFonts w:ascii="仿宋" w:eastAsia="仿宋" w:hAnsi="仿宋" w:cs="仿宋" w:hint="eastAsia"/>
          <w:sz w:val="32"/>
          <w:szCs w:val="32"/>
        </w:rPr>
        <w:t>1300</w:t>
      </w:r>
      <w:r>
        <w:rPr>
          <w:rFonts w:ascii="仿宋" w:eastAsia="仿宋" w:hAnsi="仿宋" w:cs="仿宋" w:hint="eastAsia"/>
          <w:sz w:val="32"/>
          <w:szCs w:val="32"/>
        </w:rPr>
        <w:t>余台次。较好地完成了社会综合治理工作司法部门职责，在省直属单位“综合治理”考核中，被评为“优胜单位”。</w:t>
      </w:r>
    </w:p>
    <w:p w:rsidR="006E5010" w:rsidRDefault="00FD080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5</w:t>
      </w:r>
      <w:r>
        <w:rPr>
          <w:rFonts w:ascii="仿宋" w:eastAsia="仿宋" w:hAnsi="仿宋" w:cs="仿宋" w:hint="eastAsia"/>
          <w:b/>
          <w:bCs/>
          <w:sz w:val="32"/>
          <w:szCs w:val="32"/>
        </w:rPr>
        <w:t>）目标责任制考核得分</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95</w:t>
      </w:r>
      <w:r>
        <w:rPr>
          <w:rFonts w:ascii="仿宋" w:eastAsia="仿宋" w:hAnsi="仿宋" w:cs="仿宋" w:hint="eastAsia"/>
          <w:sz w:val="32"/>
          <w:szCs w:val="32"/>
        </w:rPr>
        <w:t>分，设定分值</w:t>
      </w:r>
      <w:r>
        <w:rPr>
          <w:rFonts w:ascii="仿宋" w:eastAsia="仿宋" w:hAnsi="仿宋" w:cs="仿宋" w:hint="eastAsia"/>
          <w:sz w:val="32"/>
          <w:szCs w:val="32"/>
        </w:rPr>
        <w:t>20</w:t>
      </w:r>
      <w:r>
        <w:rPr>
          <w:rFonts w:ascii="仿宋" w:eastAsia="仿宋" w:hAnsi="仿宋" w:cs="仿宋" w:hint="eastAsia"/>
          <w:sz w:val="32"/>
          <w:szCs w:val="32"/>
        </w:rPr>
        <w:t>分。实际考核结果为“合格”，指标完成率</w:t>
      </w:r>
      <w:r>
        <w:rPr>
          <w:rFonts w:ascii="仿宋" w:eastAsia="仿宋" w:hAnsi="仿宋" w:cs="仿宋" w:hint="eastAsia"/>
          <w:sz w:val="32"/>
          <w:szCs w:val="32"/>
        </w:rPr>
        <w:t>60%</w:t>
      </w:r>
      <w:r>
        <w:rPr>
          <w:rFonts w:ascii="仿宋" w:eastAsia="仿宋" w:hAnsi="仿宋" w:cs="仿宋" w:hint="eastAsia"/>
          <w:sz w:val="32"/>
          <w:szCs w:val="32"/>
        </w:rPr>
        <w:t>，得分</w:t>
      </w:r>
      <w:r>
        <w:rPr>
          <w:rFonts w:ascii="仿宋" w:eastAsia="仿宋" w:hAnsi="仿宋" w:cs="仿宋" w:hint="eastAsia"/>
          <w:sz w:val="32"/>
          <w:szCs w:val="32"/>
        </w:rPr>
        <w:t>12</w:t>
      </w:r>
      <w:r>
        <w:rPr>
          <w:rFonts w:ascii="仿宋" w:eastAsia="仿宋" w:hAnsi="仿宋" w:cs="仿宋" w:hint="eastAsia"/>
          <w:sz w:val="32"/>
          <w:szCs w:val="32"/>
        </w:rPr>
        <w:t>分，指标执行偏差率为</w:t>
      </w:r>
      <w:r>
        <w:rPr>
          <w:rFonts w:ascii="仿宋" w:eastAsia="仿宋" w:hAnsi="仿宋" w:cs="仿宋" w:hint="eastAsia"/>
          <w:sz w:val="32"/>
          <w:szCs w:val="32"/>
        </w:rPr>
        <w:t>40%</w:t>
      </w:r>
      <w:r>
        <w:rPr>
          <w:rFonts w:ascii="仿宋" w:eastAsia="仿宋" w:hAnsi="仿宋" w:cs="仿宋" w:hint="eastAsia"/>
          <w:sz w:val="32"/>
          <w:szCs w:val="32"/>
        </w:rPr>
        <w:t>。</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项目重点工作成绩突出。一是高度重视保密工作，</w:t>
      </w:r>
      <w:r>
        <w:rPr>
          <w:rFonts w:ascii="仿宋" w:eastAsia="仿宋" w:hAnsi="仿宋" w:cs="仿宋" w:hint="eastAsia"/>
          <w:sz w:val="32"/>
          <w:szCs w:val="32"/>
        </w:rPr>
        <w:t>2019</w:t>
      </w:r>
      <w:r>
        <w:rPr>
          <w:rFonts w:ascii="仿宋" w:eastAsia="仿宋" w:hAnsi="仿宋" w:cs="仿宋" w:hint="eastAsia"/>
          <w:sz w:val="32"/>
          <w:szCs w:val="32"/>
        </w:rPr>
        <w:t>年司法厅通过机要保密检查。开展了组织开展厅机关互联网门户网站保密检查，顺利通过省委机要保密局检查；按照司法</w:t>
      </w:r>
      <w:r>
        <w:rPr>
          <w:rFonts w:ascii="仿宋" w:eastAsia="仿宋" w:hAnsi="仿宋" w:cs="仿宋" w:hint="eastAsia"/>
          <w:sz w:val="32"/>
          <w:szCs w:val="32"/>
        </w:rPr>
        <w:t>部抽查率不低于</w:t>
      </w:r>
      <w:r>
        <w:rPr>
          <w:rFonts w:ascii="仿宋" w:eastAsia="仿宋" w:hAnsi="仿宋" w:cs="仿宋" w:hint="eastAsia"/>
          <w:sz w:val="32"/>
          <w:szCs w:val="32"/>
        </w:rPr>
        <w:t>10%</w:t>
      </w:r>
      <w:r>
        <w:rPr>
          <w:rFonts w:ascii="仿宋" w:eastAsia="仿宋" w:hAnsi="仿宋" w:cs="仿宋" w:hint="eastAsia"/>
          <w:sz w:val="32"/>
          <w:szCs w:val="32"/>
        </w:rPr>
        <w:t>的要求，对全省系统普通密码使用管理情况及安全保密工作进行了自查和抽查，顺利通过验收。二是通过档案目标管理省特级复查。往年档案目标特级复查工作需要半年以上时间准备，今年省委办公厅首次组织突查，完成了“三合一”制度、全宗介绍、组织机构沿革、大事记等</w:t>
      </w:r>
      <w:r>
        <w:rPr>
          <w:rFonts w:ascii="仿宋" w:eastAsia="仿宋" w:hAnsi="仿宋" w:cs="仿宋" w:hint="eastAsia"/>
          <w:sz w:val="32"/>
          <w:szCs w:val="32"/>
        </w:rPr>
        <w:t>7</w:t>
      </w:r>
      <w:r>
        <w:rPr>
          <w:rFonts w:ascii="仿宋" w:eastAsia="仿宋" w:hAnsi="仿宋" w:cs="仿宋" w:hint="eastAsia"/>
          <w:sz w:val="32"/>
          <w:szCs w:val="32"/>
        </w:rPr>
        <w:t>万余字的迎检材料，以高分通过</w:t>
      </w:r>
      <w:r>
        <w:rPr>
          <w:rFonts w:ascii="仿宋" w:eastAsia="仿宋" w:hAnsi="仿宋" w:cs="仿宋" w:hint="eastAsia"/>
          <w:sz w:val="32"/>
          <w:szCs w:val="32"/>
        </w:rPr>
        <w:t>2019</w:t>
      </w:r>
      <w:r>
        <w:rPr>
          <w:rFonts w:ascii="仿宋" w:eastAsia="仿宋" w:hAnsi="仿宋" w:cs="仿宋" w:hint="eastAsia"/>
          <w:sz w:val="32"/>
          <w:szCs w:val="32"/>
        </w:rPr>
        <w:t>至</w:t>
      </w:r>
      <w:r>
        <w:rPr>
          <w:rFonts w:ascii="仿宋" w:eastAsia="仿宋" w:hAnsi="仿宋" w:cs="仿宋" w:hint="eastAsia"/>
          <w:sz w:val="32"/>
          <w:szCs w:val="32"/>
        </w:rPr>
        <w:t>2021</w:t>
      </w:r>
      <w:r>
        <w:rPr>
          <w:rFonts w:ascii="仿宋" w:eastAsia="仿宋" w:hAnsi="仿宋" w:cs="仿宋" w:hint="eastAsia"/>
          <w:sz w:val="32"/>
          <w:szCs w:val="32"/>
        </w:rPr>
        <w:t>年省特级复查评审。三是通过司法部组织的专项督查。</w:t>
      </w:r>
      <w:r>
        <w:rPr>
          <w:rFonts w:ascii="仿宋" w:eastAsia="仿宋" w:hAnsi="仿宋" w:cs="仿宋" w:hint="eastAsia"/>
          <w:sz w:val="32"/>
          <w:szCs w:val="32"/>
        </w:rPr>
        <w:t>8</w:t>
      </w:r>
      <w:r>
        <w:rPr>
          <w:rFonts w:ascii="仿宋" w:eastAsia="仿宋" w:hAnsi="仿宋" w:cs="仿宋" w:hint="eastAsia"/>
          <w:sz w:val="32"/>
          <w:szCs w:val="32"/>
        </w:rPr>
        <w:t>月和</w:t>
      </w:r>
      <w:r>
        <w:rPr>
          <w:rFonts w:ascii="仿宋" w:eastAsia="仿宋" w:hAnsi="仿宋" w:cs="仿宋" w:hint="eastAsia"/>
          <w:sz w:val="32"/>
          <w:szCs w:val="32"/>
        </w:rPr>
        <w:t>9</w:t>
      </w:r>
      <w:r>
        <w:rPr>
          <w:rFonts w:ascii="仿宋" w:eastAsia="仿宋" w:hAnsi="仿宋" w:cs="仿宋" w:hint="eastAsia"/>
          <w:sz w:val="32"/>
          <w:szCs w:val="32"/>
        </w:rPr>
        <w:t>月，司法部先后派出指挥中心建设督导组和国庆安保维稳检查督导组，对我省指挥中心建设和安保维稳工作进行检查，均取得较好成绩，受到督导组充分肯定。</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、效益指标完成情况分析</w:t>
      </w:r>
    </w:p>
    <w:p w:rsidR="006E5010" w:rsidRDefault="00FD080A">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评价设定分值</w:t>
      </w:r>
      <w:r>
        <w:rPr>
          <w:rFonts w:ascii="仿宋" w:eastAsia="仿宋" w:hAnsi="仿宋" w:cs="仿宋" w:hint="eastAsia"/>
          <w:sz w:val="32"/>
          <w:szCs w:val="32"/>
        </w:rPr>
        <w:t>20</w:t>
      </w:r>
      <w:r>
        <w:rPr>
          <w:rFonts w:ascii="仿宋" w:eastAsia="仿宋" w:hAnsi="仿宋" w:cs="仿宋" w:hint="eastAsia"/>
          <w:sz w:val="32"/>
          <w:szCs w:val="32"/>
        </w:rPr>
        <w:t>分，综合评价得分</w:t>
      </w:r>
      <w:r>
        <w:rPr>
          <w:rFonts w:ascii="仿宋" w:eastAsia="仿宋" w:hAnsi="仿宋" w:cs="仿宋" w:hint="eastAsia"/>
          <w:sz w:val="32"/>
          <w:szCs w:val="32"/>
        </w:rPr>
        <w:t>20</w:t>
      </w:r>
      <w:r>
        <w:rPr>
          <w:rFonts w:ascii="仿宋" w:eastAsia="仿宋" w:hAnsi="仿宋" w:cs="仿宋" w:hint="eastAsia"/>
          <w:sz w:val="32"/>
          <w:szCs w:val="32"/>
        </w:rPr>
        <w:t>分，得分率</w:t>
      </w:r>
      <w:r>
        <w:rPr>
          <w:rFonts w:ascii="仿宋" w:eastAsia="仿宋" w:hAnsi="仿宋" w:cs="仿宋" w:hint="eastAsia"/>
          <w:sz w:val="32"/>
          <w:szCs w:val="32"/>
        </w:rPr>
        <w:t>100%</w:t>
      </w:r>
      <w:r>
        <w:rPr>
          <w:rFonts w:ascii="仿宋" w:eastAsia="仿宋" w:hAnsi="仿宋" w:cs="仿宋" w:hint="eastAsia"/>
          <w:sz w:val="32"/>
          <w:szCs w:val="32"/>
        </w:rPr>
        <w:t>。</w:t>
      </w:r>
    </w:p>
    <w:p w:rsidR="006E5010" w:rsidRDefault="00FD080A">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干部职工保障满意度</w:t>
      </w:r>
      <w:r>
        <w:rPr>
          <w:rFonts w:ascii="仿宋" w:eastAsia="仿宋" w:hAnsi="仿宋" w:cs="仿宋" w:hint="eastAsia"/>
          <w:b/>
          <w:bCs/>
          <w:sz w:val="32"/>
          <w:szCs w:val="32"/>
        </w:rPr>
        <w:t xml:space="preserve">: </w:t>
      </w:r>
      <w:r>
        <w:rPr>
          <w:rFonts w:ascii="仿宋" w:eastAsia="仿宋" w:hAnsi="仿宋" w:cs="仿宋" w:hint="eastAsia"/>
          <w:sz w:val="32"/>
          <w:szCs w:val="32"/>
        </w:rPr>
        <w:t>指标目标值为≥</w:t>
      </w:r>
      <w:r>
        <w:rPr>
          <w:rFonts w:ascii="仿宋" w:eastAsia="仿宋" w:hAnsi="仿宋" w:cs="仿宋" w:hint="eastAsia"/>
          <w:sz w:val="32"/>
          <w:szCs w:val="32"/>
        </w:rPr>
        <w:t>80%</w:t>
      </w:r>
      <w:r>
        <w:rPr>
          <w:rFonts w:ascii="仿宋" w:eastAsia="仿宋" w:hAnsi="仿宋" w:cs="仿宋" w:hint="eastAsia"/>
          <w:sz w:val="32"/>
          <w:szCs w:val="32"/>
        </w:rPr>
        <w:t>，设定分值</w:t>
      </w:r>
      <w:r>
        <w:rPr>
          <w:rFonts w:ascii="仿宋" w:eastAsia="仿宋" w:hAnsi="仿宋" w:cs="仿宋" w:hint="eastAsia"/>
          <w:sz w:val="32"/>
          <w:szCs w:val="32"/>
        </w:rPr>
        <w:t>10</w:t>
      </w:r>
      <w:r>
        <w:rPr>
          <w:rFonts w:ascii="仿宋" w:eastAsia="仿宋" w:hAnsi="仿宋" w:cs="仿宋" w:hint="eastAsia"/>
          <w:sz w:val="32"/>
          <w:szCs w:val="32"/>
        </w:rPr>
        <w:t>分。指标完成值为</w:t>
      </w:r>
      <w:r>
        <w:rPr>
          <w:rFonts w:ascii="仿宋" w:eastAsia="仿宋" w:hAnsi="仿宋" w:cs="仿宋" w:hint="eastAsia"/>
          <w:sz w:val="32"/>
          <w:szCs w:val="32"/>
        </w:rPr>
        <w:t>85%</w:t>
      </w:r>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20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6E5010" w:rsidRDefault="00FD080A">
      <w:pPr>
        <w:spacing w:line="560" w:lineRule="exact"/>
        <w:ind w:firstLineChars="200" w:firstLine="643"/>
        <w:rPr>
          <w:rFonts w:ascii="黑体" w:eastAsia="黑体" w:hAnsi="黑体"/>
          <w:b/>
          <w:sz w:val="32"/>
          <w:szCs w:val="32"/>
        </w:rPr>
      </w:pPr>
      <w:r>
        <w:rPr>
          <w:rFonts w:ascii="黑体" w:eastAsia="黑体" w:hAnsi="黑体" w:hint="eastAsia"/>
          <w:b/>
          <w:sz w:val="32"/>
          <w:szCs w:val="32"/>
        </w:rPr>
        <w:t>四、自评结果拟应用情况</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（一）下一步整改措施</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、项目整改措施</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在绩效自评结果确定后二十日内，以正式文件或函件等形式将绩效自评结果和整改要求反馈给项目执行部门。项目执行部门按下述整改措施，在九十日内逐项落实到位。</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坚持预算编制全面性和准确性等原则，进一步增强预算编制的科学性、前瞻性和准确性，不断提高预算编制质量。二是强化预算的刚性约束，按照批复的项目预算和单位年度工作计划，坚守“量入为出”等预算管理原则，严格执行预算。</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、绩效目标调整完善措施</w:t>
      </w:r>
    </w:p>
    <w:p w:rsidR="006E5010" w:rsidRDefault="00FD080A">
      <w:pPr>
        <w:spacing w:line="560" w:lineRule="exact"/>
        <w:ind w:firstLineChars="200" w:firstLine="640"/>
        <w:rPr>
          <w:rFonts w:ascii="仿宋" w:eastAsia="仿宋" w:hAnsi="仿宋" w:cs="仿宋"/>
          <w:sz w:val="32"/>
          <w:szCs w:val="32"/>
        </w:rPr>
      </w:pPr>
      <w:bookmarkStart w:id="9" w:name="_Hlk9954716"/>
      <w:bookmarkStart w:id="10" w:name="_Hlk9762187"/>
      <w:bookmarkStart w:id="11" w:name="_Hlk10025099"/>
      <w:r>
        <w:rPr>
          <w:rFonts w:ascii="仿宋" w:eastAsia="仿宋" w:hAnsi="仿宋" w:cs="仿宋" w:hint="eastAsia"/>
          <w:sz w:val="32"/>
          <w:szCs w:val="32"/>
        </w:rPr>
        <w:t>拟对部分绩效指标进行优化、调整，以进一步完善绩效指标体系，充分发挥绩效目标的导向和激励作用。</w:t>
      </w:r>
      <w:bookmarkEnd w:id="9"/>
      <w:bookmarkEnd w:id="10"/>
    </w:p>
    <w:bookmarkEnd w:id="11"/>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一是基于绩效指标设定的重要性原则，增设“机关安全运行率”指标，指标值设置为</w:t>
      </w:r>
      <w:r>
        <w:rPr>
          <w:rFonts w:ascii="仿宋" w:eastAsia="仿宋" w:hAnsi="仿宋" w:cs="仿宋" w:hint="eastAsia"/>
          <w:sz w:val="32"/>
          <w:szCs w:val="32"/>
        </w:rPr>
        <w:t>100%</w:t>
      </w:r>
      <w:r>
        <w:rPr>
          <w:rFonts w:ascii="仿宋" w:eastAsia="仿宋" w:hAnsi="仿宋" w:cs="仿宋" w:hint="eastAsia"/>
          <w:sz w:val="32"/>
          <w:szCs w:val="32"/>
        </w:rPr>
        <w:t>。</w:t>
      </w:r>
    </w:p>
    <w:p w:rsidR="006E5010" w:rsidRDefault="006F1A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FD080A">
        <w:rPr>
          <w:rFonts w:ascii="仿宋" w:eastAsia="仿宋" w:hAnsi="仿宋" w:cs="仿宋" w:hint="eastAsia"/>
          <w:sz w:val="32"/>
          <w:szCs w:val="32"/>
        </w:rPr>
        <w:t>是</w:t>
      </w:r>
      <w:r w:rsidR="00FD080A">
        <w:rPr>
          <w:rFonts w:ascii="仿宋" w:eastAsia="仿宋" w:hAnsi="仿宋" w:cs="仿宋" w:hint="eastAsia"/>
          <w:sz w:val="32"/>
          <w:szCs w:val="32"/>
        </w:rPr>
        <w:t>基于绩效指标值的适当性原则，</w:t>
      </w:r>
      <w:r w:rsidR="00330642">
        <w:rPr>
          <w:rFonts w:ascii="仿宋" w:eastAsia="仿宋" w:hAnsi="仿宋" w:cs="仿宋" w:hint="eastAsia"/>
          <w:sz w:val="32"/>
          <w:szCs w:val="32"/>
        </w:rPr>
        <w:t>将</w:t>
      </w:r>
      <w:r w:rsidR="00FD080A">
        <w:rPr>
          <w:rFonts w:ascii="仿宋" w:eastAsia="仿宋" w:hAnsi="仿宋" w:cs="仿宋" w:hint="eastAsia"/>
          <w:sz w:val="32"/>
          <w:szCs w:val="32"/>
        </w:rPr>
        <w:t>“卫生消毒、白蚁防治、灭四害等工作次数”指标名称，修改为“开展爱国卫生等活动次数”。</w:t>
      </w:r>
      <w:bookmarkStart w:id="12" w:name="_GoBack"/>
      <w:bookmarkEnd w:id="12"/>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（二）拟与预算安排相结合</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、绩效自评结果拟作为</w:t>
      </w:r>
      <w:r>
        <w:rPr>
          <w:rFonts w:ascii="仿宋" w:eastAsia="仿宋" w:hAnsi="仿宋" w:cs="仿宋" w:hint="eastAsia"/>
          <w:sz w:val="32"/>
          <w:szCs w:val="32"/>
        </w:rPr>
        <w:t>2020</w:t>
      </w:r>
      <w:r>
        <w:rPr>
          <w:rFonts w:ascii="仿宋" w:eastAsia="仿宋" w:hAnsi="仿宋" w:cs="仿宋" w:hint="eastAsia"/>
          <w:sz w:val="32"/>
          <w:szCs w:val="32"/>
        </w:rPr>
        <w:t>年度项目预算调整及</w:t>
      </w:r>
      <w:r>
        <w:rPr>
          <w:rFonts w:ascii="仿宋" w:eastAsia="仿宋" w:hAnsi="仿宋" w:cs="仿宋" w:hint="eastAsia"/>
          <w:sz w:val="32"/>
          <w:szCs w:val="32"/>
        </w:rPr>
        <w:t>2021</w:t>
      </w:r>
      <w:r>
        <w:rPr>
          <w:rFonts w:ascii="仿宋" w:eastAsia="仿宋" w:hAnsi="仿宋" w:cs="仿宋" w:hint="eastAsia"/>
          <w:sz w:val="32"/>
          <w:szCs w:val="32"/>
        </w:rPr>
        <w:lastRenderedPageBreak/>
        <w:t>年度项目预算编制和财政资金安排的重要依据。</w:t>
      </w:r>
    </w:p>
    <w:p w:rsidR="006E5010" w:rsidRDefault="00FD080A">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、努力提高预算年度工作任务计划的精准性，进一步明确项目主管单位（部门）预算管理职责，重视业务骨干参与预算管理工作全过程的协调，切实加强预算管理工作。</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、建立项目绩效考核机制，将项目实施过程和自评结果与人员绩效考核挂钩，增强项目实施人员的积极性和责任心，正确引导项目</w:t>
      </w:r>
      <w:r>
        <w:rPr>
          <w:rFonts w:ascii="仿宋" w:eastAsia="仿宋" w:hAnsi="仿宋" w:cs="仿宋" w:hint="eastAsia"/>
          <w:sz w:val="32"/>
          <w:szCs w:val="32"/>
        </w:rPr>
        <w:t>实施方向，确保实现项目目标。</w:t>
      </w:r>
    </w:p>
    <w:p w:rsidR="006E5010" w:rsidRDefault="00FD080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（三）拟公开情况</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、按照省级部门预决算公开的要求，将项目绩效自评结果随部门预决算一并公开。</w:t>
      </w:r>
    </w:p>
    <w:p w:rsidR="006E5010" w:rsidRDefault="00FD080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、在部门内部进行通报，并按照政府信息公开的有关规定在省司法厅门户网站公示。</w:t>
      </w:r>
    </w:p>
    <w:p w:rsidR="006E5010" w:rsidRDefault="00FD080A">
      <w:pPr>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hint="eastAsia"/>
          <w:b/>
          <w:sz w:val="32"/>
          <w:szCs w:val="32"/>
        </w:rPr>
        <w:t>2019</w:t>
      </w:r>
      <w:r>
        <w:rPr>
          <w:rFonts w:ascii="黑体" w:eastAsia="黑体" w:hAnsi="黑体" w:hint="eastAsia"/>
          <w:b/>
          <w:sz w:val="32"/>
          <w:szCs w:val="32"/>
        </w:rPr>
        <w:t>年度综合事务工作经费项目绩效自评表（附后）</w:t>
      </w:r>
    </w:p>
    <w:p w:rsidR="006E5010" w:rsidRDefault="006E5010">
      <w:pPr>
        <w:spacing w:line="560" w:lineRule="exact"/>
        <w:ind w:firstLineChars="200" w:firstLine="643"/>
        <w:rPr>
          <w:rFonts w:ascii="仿宋" w:eastAsia="仿宋" w:hAnsi="仿宋" w:cs="仿宋"/>
          <w:b/>
          <w:sz w:val="32"/>
          <w:szCs w:val="32"/>
        </w:rPr>
      </w:pPr>
    </w:p>
    <w:p w:rsidR="006E5010" w:rsidRDefault="006E5010">
      <w:pPr>
        <w:spacing w:line="560" w:lineRule="exact"/>
        <w:rPr>
          <w:rFonts w:ascii="仿宋" w:eastAsia="仿宋" w:hAnsi="仿宋" w:cs="仿宋"/>
          <w:b/>
          <w:sz w:val="32"/>
          <w:szCs w:val="32"/>
        </w:rPr>
      </w:pPr>
    </w:p>
    <w:p w:rsidR="006E5010" w:rsidRDefault="00FD080A">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湖北省司法厅绩效自评工作小组</w:t>
      </w:r>
    </w:p>
    <w:p w:rsidR="006E5010" w:rsidRDefault="00FD080A">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
    <w:sectPr w:rsidR="006E5010">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0A" w:rsidRDefault="00FD080A">
      <w:r>
        <w:separator/>
      </w:r>
    </w:p>
  </w:endnote>
  <w:endnote w:type="continuationSeparator" w:id="0">
    <w:p w:rsidR="00FD080A" w:rsidRDefault="00FD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10" w:rsidRDefault="00FD080A">
    <w:pPr>
      <w:pStyle w:val="ab"/>
    </w:pPr>
    <w:r>
      <w:pict>
        <v:shapetype id="_x0000_t202" coordsize="21600,21600" o:spt="202" path="m,l,21600r21600,l21600,xe">
          <v:stroke joinstyle="miter"/>
          <v:path gradientshapeok="t" o:connecttype="rect"/>
        </v:shapetype>
        <v:shape id="_x0000_s3074"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6E5010" w:rsidRDefault="00FD080A">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F1A3E">
                  <w:rPr>
                    <w:noProof/>
                  </w:rPr>
                  <w:t>- 8 -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0A" w:rsidRDefault="00FD080A">
      <w:r>
        <w:separator/>
      </w:r>
    </w:p>
  </w:footnote>
  <w:footnote w:type="continuationSeparator" w:id="0">
    <w:p w:rsidR="00FD080A" w:rsidRDefault="00FD0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34F8"/>
    <w:rsid w:val="0001599C"/>
    <w:rsid w:val="00017256"/>
    <w:rsid w:val="00034CC6"/>
    <w:rsid w:val="00055C10"/>
    <w:rsid w:val="00056E24"/>
    <w:rsid w:val="00075742"/>
    <w:rsid w:val="00076AB4"/>
    <w:rsid w:val="000805B3"/>
    <w:rsid w:val="0008553E"/>
    <w:rsid w:val="00093F27"/>
    <w:rsid w:val="0009474B"/>
    <w:rsid w:val="000A37C2"/>
    <w:rsid w:val="000A3F37"/>
    <w:rsid w:val="000B3DAB"/>
    <w:rsid w:val="000C1344"/>
    <w:rsid w:val="000E62A9"/>
    <w:rsid w:val="000F1AAA"/>
    <w:rsid w:val="001028B5"/>
    <w:rsid w:val="0012210B"/>
    <w:rsid w:val="00126D05"/>
    <w:rsid w:val="00133D11"/>
    <w:rsid w:val="001363AD"/>
    <w:rsid w:val="00140EC1"/>
    <w:rsid w:val="00195428"/>
    <w:rsid w:val="001B0C45"/>
    <w:rsid w:val="001C29C4"/>
    <w:rsid w:val="001C5BB6"/>
    <w:rsid w:val="001D25CD"/>
    <w:rsid w:val="001D4B6B"/>
    <w:rsid w:val="001D5772"/>
    <w:rsid w:val="001F080F"/>
    <w:rsid w:val="001F087C"/>
    <w:rsid w:val="001F66FF"/>
    <w:rsid w:val="00215E9A"/>
    <w:rsid w:val="002173D9"/>
    <w:rsid w:val="00223FE6"/>
    <w:rsid w:val="00227A7B"/>
    <w:rsid w:val="0023075F"/>
    <w:rsid w:val="0023534D"/>
    <w:rsid w:val="00250580"/>
    <w:rsid w:val="00277927"/>
    <w:rsid w:val="00283F17"/>
    <w:rsid w:val="00284A88"/>
    <w:rsid w:val="002A7CEC"/>
    <w:rsid w:val="002B0E91"/>
    <w:rsid w:val="002B27B2"/>
    <w:rsid w:val="002E1BF5"/>
    <w:rsid w:val="002E5C9D"/>
    <w:rsid w:val="002F5ABB"/>
    <w:rsid w:val="003014CC"/>
    <w:rsid w:val="00310286"/>
    <w:rsid w:val="00312DD8"/>
    <w:rsid w:val="003142D1"/>
    <w:rsid w:val="0031553A"/>
    <w:rsid w:val="00320673"/>
    <w:rsid w:val="00330642"/>
    <w:rsid w:val="00340545"/>
    <w:rsid w:val="00340837"/>
    <w:rsid w:val="00347AF2"/>
    <w:rsid w:val="00372016"/>
    <w:rsid w:val="003867DA"/>
    <w:rsid w:val="00395C33"/>
    <w:rsid w:val="003A39AF"/>
    <w:rsid w:val="003B11CF"/>
    <w:rsid w:val="003B13A4"/>
    <w:rsid w:val="003C281F"/>
    <w:rsid w:val="003E1477"/>
    <w:rsid w:val="003E2327"/>
    <w:rsid w:val="003E6369"/>
    <w:rsid w:val="003F15F6"/>
    <w:rsid w:val="003F3A0D"/>
    <w:rsid w:val="00410B7B"/>
    <w:rsid w:val="00412AD7"/>
    <w:rsid w:val="00417393"/>
    <w:rsid w:val="004224A9"/>
    <w:rsid w:val="00423CE3"/>
    <w:rsid w:val="004630D2"/>
    <w:rsid w:val="00472BA0"/>
    <w:rsid w:val="00480194"/>
    <w:rsid w:val="00482437"/>
    <w:rsid w:val="00487EC3"/>
    <w:rsid w:val="004A2C8A"/>
    <w:rsid w:val="004A34F8"/>
    <w:rsid w:val="004C2623"/>
    <w:rsid w:val="004C4E99"/>
    <w:rsid w:val="004C5FB2"/>
    <w:rsid w:val="004C7582"/>
    <w:rsid w:val="004D1E85"/>
    <w:rsid w:val="004D6CD9"/>
    <w:rsid w:val="004D6D94"/>
    <w:rsid w:val="004F36A1"/>
    <w:rsid w:val="00503FDD"/>
    <w:rsid w:val="00523AFC"/>
    <w:rsid w:val="00532714"/>
    <w:rsid w:val="005338C2"/>
    <w:rsid w:val="00543A97"/>
    <w:rsid w:val="00543C95"/>
    <w:rsid w:val="00543CD4"/>
    <w:rsid w:val="005471DA"/>
    <w:rsid w:val="00563F9C"/>
    <w:rsid w:val="0056652A"/>
    <w:rsid w:val="005A023A"/>
    <w:rsid w:val="005A1A59"/>
    <w:rsid w:val="005C3D6A"/>
    <w:rsid w:val="005C421E"/>
    <w:rsid w:val="005D30FF"/>
    <w:rsid w:val="005D386A"/>
    <w:rsid w:val="005E375F"/>
    <w:rsid w:val="005E6DD8"/>
    <w:rsid w:val="0061152D"/>
    <w:rsid w:val="00620956"/>
    <w:rsid w:val="006259D2"/>
    <w:rsid w:val="00627B8E"/>
    <w:rsid w:val="00647E0C"/>
    <w:rsid w:val="00651943"/>
    <w:rsid w:val="00685C43"/>
    <w:rsid w:val="00686B8C"/>
    <w:rsid w:val="006E5010"/>
    <w:rsid w:val="006F1A3E"/>
    <w:rsid w:val="006F3824"/>
    <w:rsid w:val="00715453"/>
    <w:rsid w:val="00723D7E"/>
    <w:rsid w:val="0073080C"/>
    <w:rsid w:val="00732BD7"/>
    <w:rsid w:val="007350C0"/>
    <w:rsid w:val="007439E7"/>
    <w:rsid w:val="007542A0"/>
    <w:rsid w:val="00755A01"/>
    <w:rsid w:val="00757F02"/>
    <w:rsid w:val="007667BB"/>
    <w:rsid w:val="00774FE9"/>
    <w:rsid w:val="00782B67"/>
    <w:rsid w:val="007A2090"/>
    <w:rsid w:val="007B075D"/>
    <w:rsid w:val="007C783D"/>
    <w:rsid w:val="007E7099"/>
    <w:rsid w:val="007F46C3"/>
    <w:rsid w:val="008073B9"/>
    <w:rsid w:val="00830E82"/>
    <w:rsid w:val="008628CA"/>
    <w:rsid w:val="008813C2"/>
    <w:rsid w:val="00886571"/>
    <w:rsid w:val="00890066"/>
    <w:rsid w:val="00894387"/>
    <w:rsid w:val="008C7CC5"/>
    <w:rsid w:val="008D3C64"/>
    <w:rsid w:val="008D43EF"/>
    <w:rsid w:val="008D6EC3"/>
    <w:rsid w:val="008E73A6"/>
    <w:rsid w:val="008F0DCE"/>
    <w:rsid w:val="008F20AD"/>
    <w:rsid w:val="008F6227"/>
    <w:rsid w:val="00901A8E"/>
    <w:rsid w:val="00901D1C"/>
    <w:rsid w:val="00911A58"/>
    <w:rsid w:val="00924896"/>
    <w:rsid w:val="00930B95"/>
    <w:rsid w:val="00953325"/>
    <w:rsid w:val="009578E6"/>
    <w:rsid w:val="00975BFD"/>
    <w:rsid w:val="009836A4"/>
    <w:rsid w:val="00984786"/>
    <w:rsid w:val="0098529A"/>
    <w:rsid w:val="00992A20"/>
    <w:rsid w:val="009A57E4"/>
    <w:rsid w:val="009D32AB"/>
    <w:rsid w:val="009E569D"/>
    <w:rsid w:val="009E7258"/>
    <w:rsid w:val="009F3ADE"/>
    <w:rsid w:val="009F67BE"/>
    <w:rsid w:val="00A00A2F"/>
    <w:rsid w:val="00A02CFC"/>
    <w:rsid w:val="00A0382D"/>
    <w:rsid w:val="00A05DD4"/>
    <w:rsid w:val="00A065A4"/>
    <w:rsid w:val="00A16356"/>
    <w:rsid w:val="00A2117B"/>
    <w:rsid w:val="00A24573"/>
    <w:rsid w:val="00A5562D"/>
    <w:rsid w:val="00A83873"/>
    <w:rsid w:val="00A9643B"/>
    <w:rsid w:val="00AA6CA5"/>
    <w:rsid w:val="00AA6CB6"/>
    <w:rsid w:val="00AA7906"/>
    <w:rsid w:val="00AB1EA5"/>
    <w:rsid w:val="00AC5E66"/>
    <w:rsid w:val="00AF18A0"/>
    <w:rsid w:val="00B050C6"/>
    <w:rsid w:val="00B17EDC"/>
    <w:rsid w:val="00B30FE1"/>
    <w:rsid w:val="00B35E4C"/>
    <w:rsid w:val="00B44639"/>
    <w:rsid w:val="00B63394"/>
    <w:rsid w:val="00B71C95"/>
    <w:rsid w:val="00B74F50"/>
    <w:rsid w:val="00B916C6"/>
    <w:rsid w:val="00B97258"/>
    <w:rsid w:val="00BC5BF0"/>
    <w:rsid w:val="00BE1FDB"/>
    <w:rsid w:val="00BE275C"/>
    <w:rsid w:val="00BE5131"/>
    <w:rsid w:val="00BF3AB2"/>
    <w:rsid w:val="00C14DA1"/>
    <w:rsid w:val="00C1552B"/>
    <w:rsid w:val="00C17AB9"/>
    <w:rsid w:val="00C22D6B"/>
    <w:rsid w:val="00C23974"/>
    <w:rsid w:val="00C24EEA"/>
    <w:rsid w:val="00C36615"/>
    <w:rsid w:val="00C436D7"/>
    <w:rsid w:val="00C47119"/>
    <w:rsid w:val="00C54A92"/>
    <w:rsid w:val="00C83D94"/>
    <w:rsid w:val="00C85C1F"/>
    <w:rsid w:val="00CA1268"/>
    <w:rsid w:val="00CB7BEC"/>
    <w:rsid w:val="00CE2904"/>
    <w:rsid w:val="00CE2AF3"/>
    <w:rsid w:val="00CE79D2"/>
    <w:rsid w:val="00CF4CF7"/>
    <w:rsid w:val="00CF5359"/>
    <w:rsid w:val="00D06894"/>
    <w:rsid w:val="00D12E12"/>
    <w:rsid w:val="00D15A08"/>
    <w:rsid w:val="00D20460"/>
    <w:rsid w:val="00D2492C"/>
    <w:rsid w:val="00D31237"/>
    <w:rsid w:val="00D452F4"/>
    <w:rsid w:val="00D56F87"/>
    <w:rsid w:val="00D56F8A"/>
    <w:rsid w:val="00D654A8"/>
    <w:rsid w:val="00D6723F"/>
    <w:rsid w:val="00D678A5"/>
    <w:rsid w:val="00D70A4C"/>
    <w:rsid w:val="00D7175C"/>
    <w:rsid w:val="00D90CEE"/>
    <w:rsid w:val="00D920B2"/>
    <w:rsid w:val="00DC60E1"/>
    <w:rsid w:val="00DC6A9B"/>
    <w:rsid w:val="00DD2022"/>
    <w:rsid w:val="00DF16D2"/>
    <w:rsid w:val="00E01549"/>
    <w:rsid w:val="00E137C2"/>
    <w:rsid w:val="00E16003"/>
    <w:rsid w:val="00E1765A"/>
    <w:rsid w:val="00E2207A"/>
    <w:rsid w:val="00E276D0"/>
    <w:rsid w:val="00E3783A"/>
    <w:rsid w:val="00E41509"/>
    <w:rsid w:val="00E44A68"/>
    <w:rsid w:val="00E47F6F"/>
    <w:rsid w:val="00E626D2"/>
    <w:rsid w:val="00E63356"/>
    <w:rsid w:val="00E658BE"/>
    <w:rsid w:val="00E81E13"/>
    <w:rsid w:val="00EA0D05"/>
    <w:rsid w:val="00EA2FA0"/>
    <w:rsid w:val="00EB1F91"/>
    <w:rsid w:val="00EB7744"/>
    <w:rsid w:val="00EC03CD"/>
    <w:rsid w:val="00EC64C5"/>
    <w:rsid w:val="00EE40A8"/>
    <w:rsid w:val="00F00589"/>
    <w:rsid w:val="00F153F0"/>
    <w:rsid w:val="00F23FDD"/>
    <w:rsid w:val="00F3389A"/>
    <w:rsid w:val="00F42892"/>
    <w:rsid w:val="00F463A7"/>
    <w:rsid w:val="00F47932"/>
    <w:rsid w:val="00F67EEC"/>
    <w:rsid w:val="00F84E08"/>
    <w:rsid w:val="00F859F4"/>
    <w:rsid w:val="00F90127"/>
    <w:rsid w:val="00F91AA6"/>
    <w:rsid w:val="00F9315B"/>
    <w:rsid w:val="00FB0671"/>
    <w:rsid w:val="00FC554A"/>
    <w:rsid w:val="00FD080A"/>
    <w:rsid w:val="00FD589F"/>
    <w:rsid w:val="00FE0CAD"/>
    <w:rsid w:val="00FE48CF"/>
    <w:rsid w:val="00FE6519"/>
    <w:rsid w:val="00FF6832"/>
    <w:rsid w:val="012762C3"/>
    <w:rsid w:val="01CB250B"/>
    <w:rsid w:val="02344795"/>
    <w:rsid w:val="023C0493"/>
    <w:rsid w:val="0292676F"/>
    <w:rsid w:val="02F702FB"/>
    <w:rsid w:val="03071823"/>
    <w:rsid w:val="04311F0D"/>
    <w:rsid w:val="064F44A8"/>
    <w:rsid w:val="088637C4"/>
    <w:rsid w:val="09681434"/>
    <w:rsid w:val="09EA6D1E"/>
    <w:rsid w:val="0A3859E1"/>
    <w:rsid w:val="0CD2264B"/>
    <w:rsid w:val="0DC00B9F"/>
    <w:rsid w:val="0E47121A"/>
    <w:rsid w:val="0E627B57"/>
    <w:rsid w:val="0F0E2242"/>
    <w:rsid w:val="0F8D5A76"/>
    <w:rsid w:val="116749D2"/>
    <w:rsid w:val="12606BBF"/>
    <w:rsid w:val="142D1790"/>
    <w:rsid w:val="18230527"/>
    <w:rsid w:val="18C17DBD"/>
    <w:rsid w:val="19011320"/>
    <w:rsid w:val="1BB500D5"/>
    <w:rsid w:val="1CCA7EE4"/>
    <w:rsid w:val="1DB76F35"/>
    <w:rsid w:val="1DF807D6"/>
    <w:rsid w:val="2192070D"/>
    <w:rsid w:val="21D2224C"/>
    <w:rsid w:val="22B83F4C"/>
    <w:rsid w:val="272E3C43"/>
    <w:rsid w:val="2764386F"/>
    <w:rsid w:val="279D6FB7"/>
    <w:rsid w:val="28254160"/>
    <w:rsid w:val="28866761"/>
    <w:rsid w:val="29137BCB"/>
    <w:rsid w:val="296255BC"/>
    <w:rsid w:val="2A1B6E5D"/>
    <w:rsid w:val="2A9D6DF5"/>
    <w:rsid w:val="2C3F457A"/>
    <w:rsid w:val="2C5156FC"/>
    <w:rsid w:val="2E156266"/>
    <w:rsid w:val="2FEA108C"/>
    <w:rsid w:val="30FA1F48"/>
    <w:rsid w:val="31552503"/>
    <w:rsid w:val="323D1E7E"/>
    <w:rsid w:val="326F1BE7"/>
    <w:rsid w:val="33DB03B4"/>
    <w:rsid w:val="342E48E2"/>
    <w:rsid w:val="34F97C29"/>
    <w:rsid w:val="359E2882"/>
    <w:rsid w:val="374B420C"/>
    <w:rsid w:val="384561A4"/>
    <w:rsid w:val="390C514B"/>
    <w:rsid w:val="392F16C7"/>
    <w:rsid w:val="3A240D99"/>
    <w:rsid w:val="3B370DEE"/>
    <w:rsid w:val="3BFE0EA8"/>
    <w:rsid w:val="3C9707E8"/>
    <w:rsid w:val="3E0A3B98"/>
    <w:rsid w:val="3FE55CD5"/>
    <w:rsid w:val="406B1711"/>
    <w:rsid w:val="40CC6CE0"/>
    <w:rsid w:val="44CD0D48"/>
    <w:rsid w:val="471D0B13"/>
    <w:rsid w:val="484E6BEB"/>
    <w:rsid w:val="488D13F2"/>
    <w:rsid w:val="496B3D34"/>
    <w:rsid w:val="4B2D3CBE"/>
    <w:rsid w:val="4C6618BD"/>
    <w:rsid w:val="4D7C5EC3"/>
    <w:rsid w:val="4E064079"/>
    <w:rsid w:val="4F987FBF"/>
    <w:rsid w:val="5034188D"/>
    <w:rsid w:val="5038547B"/>
    <w:rsid w:val="50967701"/>
    <w:rsid w:val="50B275FE"/>
    <w:rsid w:val="52466ACA"/>
    <w:rsid w:val="53E572B2"/>
    <w:rsid w:val="55282B1B"/>
    <w:rsid w:val="596F7FE8"/>
    <w:rsid w:val="5A45548F"/>
    <w:rsid w:val="5A5E5C83"/>
    <w:rsid w:val="5B0D7A2C"/>
    <w:rsid w:val="5B8019AF"/>
    <w:rsid w:val="5C66288D"/>
    <w:rsid w:val="5CAD0DC9"/>
    <w:rsid w:val="5CF5323D"/>
    <w:rsid w:val="5DA143B6"/>
    <w:rsid w:val="5E186F78"/>
    <w:rsid w:val="5F89427E"/>
    <w:rsid w:val="5FAA7229"/>
    <w:rsid w:val="60383AFD"/>
    <w:rsid w:val="60873377"/>
    <w:rsid w:val="60D84BC7"/>
    <w:rsid w:val="612073DB"/>
    <w:rsid w:val="61DD0DCF"/>
    <w:rsid w:val="62E32DFB"/>
    <w:rsid w:val="64BF3872"/>
    <w:rsid w:val="65C8698E"/>
    <w:rsid w:val="668275E0"/>
    <w:rsid w:val="66ED7930"/>
    <w:rsid w:val="670D4194"/>
    <w:rsid w:val="686237A2"/>
    <w:rsid w:val="68984031"/>
    <w:rsid w:val="68DA7B9A"/>
    <w:rsid w:val="699B3F36"/>
    <w:rsid w:val="69EF26ED"/>
    <w:rsid w:val="6B3B42B1"/>
    <w:rsid w:val="6B815A21"/>
    <w:rsid w:val="6DBC6926"/>
    <w:rsid w:val="6E2E751F"/>
    <w:rsid w:val="6E8042C8"/>
    <w:rsid w:val="6EA80985"/>
    <w:rsid w:val="6F6F2A80"/>
    <w:rsid w:val="6F7B0481"/>
    <w:rsid w:val="72337F22"/>
    <w:rsid w:val="72477A90"/>
    <w:rsid w:val="72584601"/>
    <w:rsid w:val="749756A2"/>
    <w:rsid w:val="75821317"/>
    <w:rsid w:val="76B1073E"/>
    <w:rsid w:val="79E6235B"/>
    <w:rsid w:val="7A3D0605"/>
    <w:rsid w:val="7CF03591"/>
    <w:rsid w:val="7E037D09"/>
    <w:rsid w:val="7E3A3719"/>
    <w:rsid w:val="7EC040B9"/>
    <w:rsid w:val="7FBD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021B10F"/>
  <w15:docId w15:val="{9F38B955-2978-4860-B78E-842453A7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ind w:firstLineChars="200" w:firstLine="880"/>
    </w:p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endnote text"/>
    <w:basedOn w:val="a"/>
    <w:link w:val="a8"/>
    <w:uiPriority w:val="99"/>
    <w:semiHidden/>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annotation subject"/>
    <w:basedOn w:val="a3"/>
    <w:next w:val="a3"/>
    <w:link w:val="af0"/>
    <w:uiPriority w:val="99"/>
    <w:semiHidden/>
    <w:unhideWhenUsed/>
    <w:qFormat/>
    <w:rPr>
      <w:b/>
      <w:bCs/>
    </w:rPr>
  </w:style>
  <w:style w:type="character" w:styleId="af1">
    <w:name w:val="endnote reference"/>
    <w:basedOn w:val="a0"/>
    <w:uiPriority w:val="99"/>
    <w:semiHidden/>
    <w:unhideWhenUsed/>
    <w:qFormat/>
    <w:rPr>
      <w:vertAlign w:val="superscript"/>
    </w:rPr>
  </w:style>
  <w:style w:type="character" w:styleId="af2">
    <w:name w:val="FollowedHyperlink"/>
    <w:basedOn w:val="a0"/>
    <w:uiPriority w:val="99"/>
    <w:semiHidden/>
    <w:unhideWhenUsed/>
    <w:qFormat/>
    <w:rPr>
      <w:color w:val="333333"/>
      <w:u w:val="none"/>
    </w:rPr>
  </w:style>
  <w:style w:type="character" w:styleId="af3">
    <w:name w:val="Hyperlink"/>
    <w:basedOn w:val="a0"/>
    <w:uiPriority w:val="99"/>
    <w:unhideWhenUsed/>
    <w:qFormat/>
    <w:rPr>
      <w:color w:val="0000FF" w:themeColor="hyperlink"/>
      <w:u w:val="single"/>
    </w:rPr>
  </w:style>
  <w:style w:type="character" w:styleId="af4">
    <w:name w:val="annotation reference"/>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 w:type="character" w:customStyle="1" w:styleId="a8">
    <w:name w:val="尾注文本 字符"/>
    <w:basedOn w:val="a0"/>
    <w:link w:val="a7"/>
    <w:uiPriority w:val="99"/>
    <w:semiHidden/>
    <w:qFormat/>
    <w:rPr>
      <w:rFonts w:ascii="Times New Roman" w:eastAsia="宋体" w:hAnsi="Times New Roman" w:cs="Times New Roman"/>
      <w:szCs w:val="24"/>
    </w:rPr>
  </w:style>
  <w:style w:type="character" w:customStyle="1" w:styleId="font01">
    <w:name w:val="font01"/>
    <w:basedOn w:val="a0"/>
    <w:qFormat/>
    <w:rPr>
      <w:rFonts w:ascii="仿宋_GB2312" w:eastAsia="仿宋_GB2312" w:cs="仿宋_GB2312" w:hint="eastAsia"/>
      <w:b/>
      <w:color w:val="000000"/>
      <w:sz w:val="20"/>
      <w:szCs w:val="20"/>
      <w:u w:val="none"/>
    </w:rPr>
  </w:style>
  <w:style w:type="character" w:customStyle="1" w:styleId="font51">
    <w:name w:val="font51"/>
    <w:basedOn w:val="a0"/>
    <w:qFormat/>
    <w:rPr>
      <w:rFonts w:ascii="仿宋_GB2312" w:eastAsia="仿宋_GB2312" w:cs="仿宋_GB2312" w:hint="eastAsia"/>
      <w:color w:val="000000"/>
      <w:sz w:val="20"/>
      <w:szCs w:val="20"/>
      <w:u w:val="none"/>
    </w:rPr>
  </w:style>
  <w:style w:type="character" w:customStyle="1" w:styleId="font21">
    <w:name w:val="font21"/>
    <w:basedOn w:val="a0"/>
    <w:qFormat/>
    <w:rPr>
      <w:rFonts w:ascii="仿宋_GB2312" w:eastAsia="仿宋_GB2312" w:cs="仿宋_GB2312" w:hint="eastAsia"/>
      <w:color w:val="000000"/>
      <w:sz w:val="20"/>
      <w:szCs w:val="20"/>
      <w:u w:val="none"/>
    </w:rPr>
  </w:style>
  <w:style w:type="character" w:customStyle="1" w:styleId="font71">
    <w:name w:val="font71"/>
    <w:basedOn w:val="a0"/>
    <w:qFormat/>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C5D83-250E-4BD8-A5A4-8E305E63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李然</cp:lastModifiedBy>
  <cp:revision>793</cp:revision>
  <dcterms:created xsi:type="dcterms:W3CDTF">2019-04-26T02:32:00Z</dcterms:created>
  <dcterms:modified xsi:type="dcterms:W3CDTF">2020-08-09T09:22:00Z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