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C9F" w:rsidRDefault="00A53C9F">
      <w:pPr>
        <w:topLinePunct/>
        <w:spacing w:beforeLines="50" w:before="156" w:afterLines="50" w:after="156" w:line="360" w:lineRule="auto"/>
        <w:jc w:val="center"/>
        <w:rPr>
          <w:rFonts w:eastAsia="仿宋_GB2312"/>
          <w:b/>
          <w:color w:val="000000"/>
          <w:sz w:val="48"/>
          <w:szCs w:val="48"/>
        </w:rPr>
      </w:pPr>
    </w:p>
    <w:p w:rsidR="00A53C9F" w:rsidRDefault="00A53C9F">
      <w:pPr>
        <w:topLinePunct/>
        <w:spacing w:beforeLines="50" w:before="156" w:afterLines="50" w:after="156" w:line="360" w:lineRule="auto"/>
        <w:jc w:val="center"/>
        <w:rPr>
          <w:rFonts w:eastAsia="仿宋_GB2312"/>
          <w:b/>
          <w:color w:val="000000"/>
          <w:sz w:val="48"/>
          <w:szCs w:val="48"/>
        </w:rPr>
      </w:pPr>
    </w:p>
    <w:p w:rsidR="00A53C9F" w:rsidRDefault="00AD0626">
      <w:pPr>
        <w:topLinePunct/>
        <w:spacing w:beforeLines="50" w:before="156" w:afterLines="50" w:after="156" w:line="360" w:lineRule="auto"/>
        <w:jc w:val="center"/>
        <w:rPr>
          <w:rFonts w:eastAsia="方正小标宋简体"/>
          <w:b/>
          <w:color w:val="000000"/>
          <w:sz w:val="48"/>
          <w:szCs w:val="48"/>
        </w:rPr>
      </w:pPr>
      <w:r>
        <w:rPr>
          <w:rFonts w:eastAsia="方正小标宋简体"/>
          <w:b/>
          <w:color w:val="000000"/>
          <w:sz w:val="48"/>
          <w:szCs w:val="48"/>
        </w:rPr>
        <w:t>湖北省省级财政项目支出绩效自评报告</w:t>
      </w:r>
    </w:p>
    <w:p w:rsidR="00A53C9F" w:rsidRDefault="00AD0626">
      <w:pPr>
        <w:topLinePunct/>
        <w:spacing w:line="360" w:lineRule="auto"/>
        <w:jc w:val="center"/>
        <w:rPr>
          <w:rFonts w:eastAsia="方正小标宋简体"/>
          <w:b/>
          <w:color w:val="000000"/>
          <w:sz w:val="44"/>
          <w:szCs w:val="44"/>
        </w:rPr>
      </w:pPr>
      <w:r>
        <w:rPr>
          <w:rFonts w:eastAsia="方正小标宋简体"/>
          <w:b/>
          <w:color w:val="000000"/>
          <w:sz w:val="44"/>
          <w:szCs w:val="44"/>
        </w:rPr>
        <w:t>（</w:t>
      </w:r>
      <w:r>
        <w:rPr>
          <w:rFonts w:eastAsia="方正小标宋简体"/>
          <w:b/>
          <w:color w:val="000000"/>
          <w:sz w:val="44"/>
          <w:szCs w:val="44"/>
        </w:rPr>
        <w:t>201</w:t>
      </w:r>
      <w:r>
        <w:rPr>
          <w:rFonts w:eastAsia="方正小标宋简体" w:hint="eastAsia"/>
          <w:b/>
          <w:color w:val="000000"/>
          <w:sz w:val="44"/>
          <w:szCs w:val="44"/>
        </w:rPr>
        <w:t>9</w:t>
      </w:r>
      <w:r>
        <w:rPr>
          <w:rFonts w:eastAsia="方正小标宋简体"/>
          <w:b/>
          <w:color w:val="000000"/>
          <w:sz w:val="44"/>
          <w:szCs w:val="44"/>
        </w:rPr>
        <w:t>年度）</w:t>
      </w:r>
    </w:p>
    <w:p w:rsidR="00A53C9F" w:rsidRDefault="00A53C9F">
      <w:pPr>
        <w:topLinePunct/>
        <w:spacing w:line="360" w:lineRule="auto"/>
        <w:jc w:val="center"/>
        <w:rPr>
          <w:b/>
          <w:color w:val="000000"/>
          <w:sz w:val="44"/>
          <w:szCs w:val="44"/>
        </w:rPr>
      </w:pPr>
    </w:p>
    <w:p w:rsidR="00A53C9F" w:rsidRDefault="00A53C9F">
      <w:pPr>
        <w:topLinePunct/>
        <w:spacing w:line="360" w:lineRule="auto"/>
        <w:jc w:val="center"/>
        <w:rPr>
          <w:b/>
          <w:color w:val="000000"/>
          <w:sz w:val="44"/>
          <w:szCs w:val="44"/>
        </w:rPr>
      </w:pPr>
    </w:p>
    <w:p w:rsidR="00A53C9F" w:rsidRDefault="00A53C9F">
      <w:pPr>
        <w:topLinePunct/>
        <w:spacing w:line="360" w:lineRule="auto"/>
        <w:jc w:val="center"/>
        <w:rPr>
          <w:b/>
          <w:color w:val="000000"/>
          <w:sz w:val="44"/>
          <w:szCs w:val="44"/>
        </w:rPr>
      </w:pPr>
    </w:p>
    <w:p w:rsidR="00A53C9F" w:rsidRDefault="00A53C9F">
      <w:pPr>
        <w:topLinePunct/>
        <w:spacing w:line="360" w:lineRule="auto"/>
        <w:jc w:val="center"/>
        <w:rPr>
          <w:b/>
          <w:color w:val="000000"/>
          <w:sz w:val="44"/>
          <w:szCs w:val="44"/>
        </w:rPr>
      </w:pPr>
    </w:p>
    <w:p w:rsidR="00A53C9F" w:rsidRDefault="00A53C9F">
      <w:pPr>
        <w:topLinePunct/>
        <w:spacing w:line="360" w:lineRule="auto"/>
        <w:jc w:val="center"/>
        <w:rPr>
          <w:b/>
          <w:color w:val="000000"/>
          <w:sz w:val="44"/>
          <w:szCs w:val="44"/>
        </w:rPr>
      </w:pPr>
    </w:p>
    <w:p w:rsidR="00A53C9F" w:rsidRDefault="00AD0626">
      <w:pPr>
        <w:topLinePunct/>
        <w:spacing w:beforeLines="100" w:before="312" w:afterLines="100" w:after="312" w:line="360" w:lineRule="auto"/>
        <w:ind w:firstLineChars="200" w:firstLine="643"/>
        <w:rPr>
          <w:rFonts w:eastAsia="仿宋_GB2312"/>
          <w:b/>
          <w:bCs/>
          <w:kern w:val="0"/>
          <w:sz w:val="32"/>
          <w:szCs w:val="32"/>
        </w:rPr>
      </w:pPr>
      <w:r>
        <w:rPr>
          <w:rFonts w:eastAsia="仿宋_GB2312"/>
          <w:b/>
          <w:bCs/>
          <w:kern w:val="0"/>
          <w:sz w:val="32"/>
          <w:szCs w:val="32"/>
        </w:rPr>
        <w:t>项目名称：</w:t>
      </w:r>
      <w:r>
        <w:rPr>
          <w:rFonts w:eastAsia="仿宋_GB2312" w:hint="eastAsia"/>
          <w:b/>
          <w:bCs/>
          <w:kern w:val="0"/>
          <w:sz w:val="32"/>
          <w:szCs w:val="32"/>
        </w:rPr>
        <w:t>纪检监察</w:t>
      </w:r>
    </w:p>
    <w:p w:rsidR="00A53C9F" w:rsidRDefault="00AD0626">
      <w:pPr>
        <w:topLinePunct/>
        <w:spacing w:beforeLines="100" w:before="312" w:afterLines="100" w:after="312" w:line="360" w:lineRule="auto"/>
        <w:ind w:firstLineChars="200" w:firstLine="643"/>
        <w:rPr>
          <w:rFonts w:eastAsia="仿宋_GB2312"/>
          <w:b/>
          <w:bCs/>
          <w:kern w:val="0"/>
          <w:sz w:val="32"/>
          <w:szCs w:val="32"/>
        </w:rPr>
      </w:pPr>
      <w:r>
        <w:rPr>
          <w:rFonts w:eastAsia="仿宋_GB2312"/>
          <w:b/>
          <w:bCs/>
          <w:kern w:val="0"/>
          <w:sz w:val="32"/>
          <w:szCs w:val="32"/>
        </w:rPr>
        <w:t>项目单位：</w:t>
      </w:r>
      <w:r>
        <w:rPr>
          <w:rFonts w:eastAsia="仿宋_GB2312" w:hint="eastAsia"/>
          <w:b/>
          <w:bCs/>
          <w:kern w:val="0"/>
          <w:sz w:val="32"/>
          <w:szCs w:val="32"/>
        </w:rPr>
        <w:t>省纪委派驻省司法厅纪检组</w:t>
      </w:r>
      <w:r>
        <w:rPr>
          <w:rFonts w:eastAsia="仿宋_GB2312" w:hint="eastAsia"/>
          <w:b/>
          <w:bCs/>
          <w:kern w:val="0"/>
          <w:sz w:val="32"/>
          <w:szCs w:val="32"/>
        </w:rPr>
        <w:tab/>
      </w:r>
      <w:r>
        <w:rPr>
          <w:rFonts w:eastAsia="仿宋_GB2312" w:hint="eastAsia"/>
          <w:b/>
          <w:bCs/>
          <w:kern w:val="0"/>
          <w:sz w:val="32"/>
          <w:szCs w:val="32"/>
        </w:rPr>
        <w:tab/>
      </w:r>
    </w:p>
    <w:p w:rsidR="00A53C9F" w:rsidRDefault="00AD0626">
      <w:pPr>
        <w:topLinePunct/>
        <w:spacing w:beforeLines="100" w:before="312" w:afterLines="100" w:after="312" w:line="360" w:lineRule="auto"/>
        <w:ind w:firstLineChars="200" w:firstLine="643"/>
        <w:rPr>
          <w:rFonts w:eastAsia="仿宋_GB2312"/>
          <w:b/>
          <w:bCs/>
          <w:kern w:val="0"/>
          <w:sz w:val="32"/>
          <w:szCs w:val="32"/>
        </w:rPr>
      </w:pPr>
      <w:r>
        <w:rPr>
          <w:rFonts w:eastAsia="仿宋_GB2312"/>
          <w:b/>
          <w:bCs/>
          <w:kern w:val="0"/>
          <w:sz w:val="32"/>
          <w:szCs w:val="32"/>
        </w:rPr>
        <w:t>主管</w:t>
      </w:r>
      <w:r>
        <w:rPr>
          <w:rFonts w:eastAsia="仿宋_GB2312" w:hint="eastAsia"/>
          <w:b/>
          <w:bCs/>
          <w:kern w:val="0"/>
          <w:sz w:val="32"/>
          <w:szCs w:val="32"/>
        </w:rPr>
        <w:t>部门</w:t>
      </w:r>
      <w:r>
        <w:rPr>
          <w:rFonts w:eastAsia="仿宋_GB2312"/>
          <w:b/>
          <w:bCs/>
          <w:kern w:val="0"/>
          <w:sz w:val="32"/>
          <w:szCs w:val="32"/>
        </w:rPr>
        <w:t>：</w:t>
      </w:r>
      <w:r>
        <w:rPr>
          <w:rFonts w:eastAsia="仿宋_GB2312" w:hint="eastAsia"/>
          <w:b/>
          <w:bCs/>
          <w:kern w:val="0"/>
          <w:sz w:val="32"/>
          <w:szCs w:val="32"/>
        </w:rPr>
        <w:t>中共湖北省纪律检查委员会</w:t>
      </w:r>
    </w:p>
    <w:p w:rsidR="00A53C9F" w:rsidRDefault="00AD0626">
      <w:pPr>
        <w:topLinePunct/>
        <w:spacing w:beforeLines="100" w:before="312" w:afterLines="100" w:after="312" w:line="360" w:lineRule="auto"/>
        <w:ind w:firstLineChars="200" w:firstLine="643"/>
        <w:rPr>
          <w:rFonts w:eastAsia="仿宋_GB2312"/>
          <w:b/>
          <w:bCs/>
          <w:kern w:val="0"/>
          <w:sz w:val="32"/>
          <w:szCs w:val="32"/>
        </w:rPr>
      </w:pPr>
      <w:r>
        <w:rPr>
          <w:rFonts w:eastAsia="仿宋_GB2312" w:hint="eastAsia"/>
          <w:b/>
          <w:bCs/>
          <w:kern w:val="0"/>
          <w:sz w:val="32"/>
          <w:szCs w:val="32"/>
        </w:rPr>
        <w:t>评</w:t>
      </w:r>
      <w:r>
        <w:rPr>
          <w:rFonts w:eastAsia="仿宋_GB2312"/>
          <w:b/>
          <w:bCs/>
          <w:kern w:val="0"/>
          <w:sz w:val="32"/>
          <w:szCs w:val="32"/>
        </w:rPr>
        <w:t>价机构：</w:t>
      </w:r>
      <w:r>
        <w:rPr>
          <w:rFonts w:eastAsia="仿宋_GB2312" w:hint="eastAsia"/>
          <w:b/>
          <w:sz w:val="32"/>
          <w:szCs w:val="32"/>
        </w:rPr>
        <w:t>湖北省司法厅</w:t>
      </w:r>
      <w:r>
        <w:rPr>
          <w:rFonts w:eastAsia="仿宋_GB2312"/>
          <w:b/>
          <w:sz w:val="32"/>
          <w:szCs w:val="32"/>
        </w:rPr>
        <w:t>绩效自评</w:t>
      </w:r>
      <w:r>
        <w:rPr>
          <w:rFonts w:eastAsia="仿宋_GB2312" w:hint="eastAsia"/>
          <w:b/>
          <w:sz w:val="32"/>
          <w:szCs w:val="32"/>
        </w:rPr>
        <w:t>工作</w:t>
      </w:r>
      <w:r>
        <w:rPr>
          <w:rFonts w:eastAsia="仿宋_GB2312"/>
          <w:b/>
          <w:sz w:val="32"/>
          <w:szCs w:val="32"/>
        </w:rPr>
        <w:t>小组</w:t>
      </w:r>
    </w:p>
    <w:p w:rsidR="00A53C9F" w:rsidRDefault="00A53C9F">
      <w:pPr>
        <w:topLinePunct/>
        <w:snapToGrid w:val="0"/>
        <w:spacing w:line="360" w:lineRule="auto"/>
        <w:jc w:val="center"/>
        <w:rPr>
          <w:rFonts w:eastAsia="仿宋_GB2312"/>
          <w:b/>
          <w:bCs/>
          <w:kern w:val="0"/>
          <w:sz w:val="32"/>
          <w:szCs w:val="32"/>
        </w:rPr>
      </w:pPr>
    </w:p>
    <w:p w:rsidR="00A53C9F" w:rsidRDefault="00A53C9F">
      <w:pPr>
        <w:topLinePunct/>
        <w:snapToGrid w:val="0"/>
        <w:spacing w:line="360" w:lineRule="auto"/>
        <w:jc w:val="center"/>
        <w:rPr>
          <w:rFonts w:eastAsia="仿宋_GB2312"/>
          <w:b/>
          <w:bCs/>
          <w:kern w:val="0"/>
          <w:sz w:val="32"/>
          <w:szCs w:val="32"/>
        </w:rPr>
      </w:pPr>
    </w:p>
    <w:p w:rsidR="00A53C9F" w:rsidRDefault="00AD0626">
      <w:pPr>
        <w:spacing w:beforeLines="50" w:before="156" w:afterLines="50" w:after="156" w:line="560" w:lineRule="exact"/>
        <w:jc w:val="center"/>
        <w:rPr>
          <w:rFonts w:eastAsia="仿宋_GB2312"/>
          <w:b/>
          <w:sz w:val="32"/>
          <w:szCs w:val="32"/>
        </w:rPr>
      </w:pPr>
      <w:r>
        <w:rPr>
          <w:rFonts w:eastAsia="仿宋_GB2312"/>
          <w:b/>
          <w:sz w:val="32"/>
          <w:szCs w:val="32"/>
        </w:rPr>
        <w:t>20</w:t>
      </w:r>
      <w:r>
        <w:rPr>
          <w:rFonts w:eastAsia="仿宋_GB2312" w:hint="eastAsia"/>
          <w:b/>
          <w:sz w:val="32"/>
          <w:szCs w:val="32"/>
        </w:rPr>
        <w:t>20</w:t>
      </w:r>
      <w:r>
        <w:rPr>
          <w:rFonts w:eastAsia="仿宋_GB2312"/>
          <w:b/>
          <w:sz w:val="32"/>
          <w:szCs w:val="32"/>
        </w:rPr>
        <w:t>年</w:t>
      </w:r>
      <w:r>
        <w:rPr>
          <w:rFonts w:eastAsia="仿宋_GB2312" w:hint="eastAsia"/>
          <w:b/>
          <w:sz w:val="32"/>
          <w:szCs w:val="32"/>
        </w:rPr>
        <w:t>6</w:t>
      </w:r>
      <w:r>
        <w:rPr>
          <w:rFonts w:eastAsia="仿宋_GB2312"/>
          <w:b/>
          <w:sz w:val="32"/>
          <w:szCs w:val="32"/>
        </w:rPr>
        <w:t>月</w:t>
      </w:r>
    </w:p>
    <w:p w:rsidR="00A53C9F" w:rsidRDefault="00A53C9F">
      <w:pPr>
        <w:spacing w:beforeLines="50" w:before="156" w:afterLines="50" w:after="156" w:line="560" w:lineRule="exact"/>
        <w:jc w:val="center"/>
        <w:rPr>
          <w:rFonts w:eastAsia="仿宋_GB2312"/>
          <w:b/>
          <w:sz w:val="32"/>
        </w:rPr>
      </w:pPr>
    </w:p>
    <w:p w:rsidR="00A53C9F" w:rsidRDefault="00A53C9F">
      <w:pPr>
        <w:spacing w:beforeLines="50" w:before="156" w:afterLines="50" w:after="156" w:line="360" w:lineRule="auto"/>
        <w:jc w:val="center"/>
        <w:rPr>
          <w:rFonts w:asciiTheme="minorEastAsia" w:eastAsiaTheme="minorEastAsia" w:hAnsiTheme="minorEastAsia" w:cstheme="majorEastAsia"/>
          <w:b/>
          <w:sz w:val="36"/>
          <w:szCs w:val="36"/>
        </w:rPr>
        <w:sectPr w:rsidR="00A53C9F">
          <w:pgSz w:w="11906" w:h="16838"/>
          <w:pgMar w:top="1440" w:right="1800" w:bottom="1440" w:left="1800" w:header="851" w:footer="992" w:gutter="0"/>
          <w:pgNumType w:fmt="numberInDash" w:start="1"/>
          <w:cols w:space="425"/>
          <w:docGrid w:type="lines" w:linePitch="312"/>
        </w:sectPr>
      </w:pPr>
    </w:p>
    <w:p w:rsidR="00A53C9F" w:rsidRDefault="00A53C9F">
      <w:pPr>
        <w:spacing w:beforeLines="50" w:before="156" w:afterLines="50" w:after="156" w:line="560" w:lineRule="exact"/>
        <w:jc w:val="center"/>
        <w:rPr>
          <w:rFonts w:ascii="黑体" w:eastAsia="黑体" w:hAnsi="黑体" w:cs="黑体"/>
          <w:b/>
          <w:sz w:val="44"/>
          <w:szCs w:val="44"/>
        </w:rPr>
      </w:pPr>
    </w:p>
    <w:p w:rsidR="00A53C9F" w:rsidRDefault="00AD0626">
      <w:pPr>
        <w:spacing w:beforeLines="50" w:before="156" w:afterLines="50" w:after="156" w:line="560" w:lineRule="exact"/>
        <w:jc w:val="center"/>
        <w:rPr>
          <w:rFonts w:asciiTheme="minorEastAsia" w:eastAsiaTheme="minorEastAsia" w:hAnsiTheme="minorEastAsia" w:cstheme="majorEastAsia"/>
          <w:b/>
          <w:sz w:val="44"/>
          <w:szCs w:val="44"/>
        </w:rPr>
      </w:pPr>
      <w:r>
        <w:rPr>
          <w:rFonts w:ascii="黑体" w:eastAsia="黑体" w:hAnsi="黑体" w:cs="黑体" w:hint="eastAsia"/>
          <w:b/>
          <w:sz w:val="44"/>
          <w:szCs w:val="44"/>
        </w:rPr>
        <w:t>2019年度纪检监察绩效自评报告</w:t>
      </w:r>
    </w:p>
    <w:p w:rsidR="00A53C9F" w:rsidRDefault="00A53C9F">
      <w:pPr>
        <w:spacing w:line="560" w:lineRule="exact"/>
        <w:ind w:firstLineChars="200" w:firstLine="602"/>
        <w:rPr>
          <w:rFonts w:ascii="黑体" w:eastAsia="黑体" w:hAnsi="黑体"/>
          <w:b/>
          <w:sz w:val="30"/>
          <w:szCs w:val="30"/>
        </w:rPr>
      </w:pPr>
    </w:p>
    <w:p w:rsidR="00A53C9F" w:rsidRDefault="00AD0626">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一、基本情况</w:t>
      </w:r>
    </w:p>
    <w:p w:rsidR="00A53C9F" w:rsidRDefault="00AD062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（一）项目立项情况</w:t>
      </w:r>
    </w:p>
    <w:p w:rsidR="00A53C9F" w:rsidRDefault="00AD062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中国共产党党内监督条例》规定，按照《省编办关于中共湖北省纪律检查委员会派驻湖北省司法厅纪检组有关机构编制事项的通知》《省财政厅省纪委机关关于编制2017年度省纪委派驻纪检组经费预算的通知》等文件要求，省司法厅设立纪检监察项目（以下简称项目）。</w:t>
      </w:r>
    </w:p>
    <w:p w:rsidR="00A53C9F" w:rsidRDefault="00AD062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项目的主要内容和职责：省纪委派驻省司法厅纪检组（以下简称纪检组）履行对湖北省司法厅、湖北省监狱管理局系统的纪检监察职责，开展巡视督查、系统内的专项检查、查办案件、对系统纪检干部培训、纪检监察专网维护等工作。</w:t>
      </w:r>
    </w:p>
    <w:p w:rsidR="00A53C9F" w:rsidRDefault="00AD062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（二）年度绩效目标</w:t>
      </w:r>
    </w:p>
    <w:p w:rsidR="00A53C9F" w:rsidRDefault="00AD062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年度目标一：加大违法违纪案件查处力度，开展专项执纪监督，推进党风廉政建设和反腐败斗争。</w:t>
      </w:r>
    </w:p>
    <w:p w:rsidR="00A53C9F" w:rsidRDefault="00AD062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年度目标二：加大全系统纪检干部培训力度，提高纪检干部业务能力。</w:t>
      </w:r>
    </w:p>
    <w:p w:rsidR="00A53C9F" w:rsidRDefault="00AD062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（三）项目资金情况</w:t>
      </w:r>
    </w:p>
    <w:p w:rsidR="00A53C9F" w:rsidRDefault="00AD062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本项目为持续性、常年性项目，经费来源为省财政拨款。2019年度项目资金预算安排90.00万元，当年</w:t>
      </w:r>
      <w:bookmarkStart w:id="0" w:name="_Hlk10023979"/>
      <w:r>
        <w:rPr>
          <w:rFonts w:ascii="仿宋" w:eastAsia="仿宋" w:hAnsi="仿宋" w:cs="仿宋" w:hint="eastAsia"/>
          <w:sz w:val="32"/>
          <w:szCs w:val="32"/>
        </w:rPr>
        <w:t>实际执行82.50万元</w:t>
      </w:r>
      <w:bookmarkEnd w:id="0"/>
      <w:r>
        <w:rPr>
          <w:rFonts w:ascii="仿宋" w:eastAsia="仿宋" w:hAnsi="仿宋" w:cs="仿宋" w:hint="eastAsia"/>
          <w:sz w:val="32"/>
          <w:szCs w:val="32"/>
        </w:rPr>
        <w:t>，预算执行率为91.67%。</w:t>
      </w:r>
    </w:p>
    <w:p w:rsidR="00A53C9F" w:rsidRDefault="00AD0626">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二、绩效自评工作开展情况</w:t>
      </w:r>
    </w:p>
    <w:p w:rsidR="00A53C9F" w:rsidRDefault="00AD062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根据《省财政厅关于编制2019年度省直部门决算的通知》（财库［2019］291号）关于做好2019年度财政支出绩效评价工作的要求，省司法厅加强组织领导和统筹协调，成立了由装备财务保障处牵头，相关业务部门参与的绩效自评工作小组（以下简称自评小组），制定了绩效自评方案，明确了绩效自评的原则、程序、方法和具体的实施步骤：</w:t>
      </w:r>
    </w:p>
    <w:p w:rsidR="00A53C9F" w:rsidRDefault="00AD062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1、4月底以前，学习有关绩效自评等文件精神，加强与项目执行部门和人员的沟通协调，制定工作计划，按照职责分工分解工作任务。召开自评工作布置会，明确绩效自评工作的重点和要求。</w:t>
      </w:r>
    </w:p>
    <w:p w:rsidR="00A53C9F" w:rsidRDefault="00AD062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2、5月上旬，项目执行部门根据经人大批复的项目绩效目标，填写绩效自评表，收集、整理相关材料，并上报自评小组。</w:t>
      </w:r>
    </w:p>
    <w:p w:rsidR="00A53C9F" w:rsidRDefault="00AD062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3、5月中旬，自评小组进行现场评价，与财务和相关业务人员座谈，了解项目资金使用管理情况、目标完成情况以及实施效果，核对项目明细账及原始凭证，查阅项目业务管理资料，复核相关基础数据。</w:t>
      </w:r>
    </w:p>
    <w:p w:rsidR="00A53C9F" w:rsidRDefault="00AD0626">
      <w:pPr>
        <w:spacing w:line="560" w:lineRule="exact"/>
        <w:ind w:firstLineChars="200" w:firstLine="640"/>
        <w:rPr>
          <w:rFonts w:ascii="仿宋" w:eastAsia="仿宋" w:hAnsi="仿宋" w:cs="仿宋"/>
          <w:b/>
          <w:sz w:val="32"/>
          <w:szCs w:val="32"/>
        </w:rPr>
      </w:pPr>
      <w:r>
        <w:rPr>
          <w:rFonts w:ascii="仿宋" w:eastAsia="仿宋" w:hAnsi="仿宋" w:cs="仿宋" w:hint="eastAsia"/>
          <w:sz w:val="32"/>
          <w:szCs w:val="32"/>
        </w:rPr>
        <w:t>4、6月中旬以前，自评小组汇总整理评价资料，结合现场检查的情况进行综合分析评价，提出意见或建议，撰写项目绩效自评报告，经预算绩效管理工作领导小组审核后上报。</w:t>
      </w:r>
    </w:p>
    <w:p w:rsidR="00A53C9F" w:rsidRDefault="00AD0626">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三、绩效目标完成情况分析</w:t>
      </w:r>
    </w:p>
    <w:p w:rsidR="00A53C9F" w:rsidRDefault="00AD062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2019年，纪检组积极履行对省司法厅、省监狱管理局的监督责任，督促领导班子落实全面从严治党的主体责任。全</w:t>
      </w:r>
      <w:r>
        <w:rPr>
          <w:rFonts w:ascii="仿宋" w:eastAsia="仿宋" w:hAnsi="仿宋" w:cs="仿宋" w:hint="eastAsia"/>
          <w:sz w:val="32"/>
          <w:szCs w:val="32"/>
        </w:rPr>
        <w:lastRenderedPageBreak/>
        <w:t>年培训全系统纪检干部人数181人次，查办案件32次，开展专项治理和执纪监督5次，制定集中整治形式主义、官僚主义21条具体措施，梳理26个突出问题，初核问题线索32件，谈话函询8件，了结17件，组织处理9人；立案审查17件，结案10件，处分10人。司法厅系统党员干部和使用公权力的公职人员违纪率为0.34%，廉政建设工作持续推进，党风党纪不断加强。</w:t>
      </w:r>
    </w:p>
    <w:p w:rsidR="00A53C9F" w:rsidRDefault="00AD0626">
      <w:pPr>
        <w:spacing w:line="560" w:lineRule="exact"/>
        <w:ind w:firstLineChars="200" w:firstLine="640"/>
        <w:rPr>
          <w:rFonts w:ascii="仿宋" w:eastAsia="仿宋" w:hAnsi="仿宋" w:cs="仿宋"/>
          <w:b/>
          <w:sz w:val="32"/>
          <w:szCs w:val="32"/>
        </w:rPr>
      </w:pPr>
      <w:r>
        <w:rPr>
          <w:rFonts w:ascii="仿宋" w:eastAsia="仿宋" w:hAnsi="仿宋" w:cs="仿宋" w:hint="eastAsia"/>
          <w:sz w:val="32"/>
          <w:szCs w:val="32"/>
        </w:rPr>
        <w:t>总体来看，纪检组较好地完成了项目绩效目标,项目绩效自评得分98.33分，自评等级为“优”。</w:t>
      </w:r>
    </w:p>
    <w:p w:rsidR="00A53C9F" w:rsidRDefault="00AD062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（一）资金投入情况分析</w:t>
      </w:r>
    </w:p>
    <w:p w:rsidR="00A53C9F" w:rsidRDefault="00AD062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1、项目资金到位情况分析</w:t>
      </w:r>
    </w:p>
    <w:p w:rsidR="00A53C9F" w:rsidRDefault="00AD0626">
      <w:pPr>
        <w:spacing w:line="560" w:lineRule="exact"/>
        <w:ind w:firstLineChars="200" w:firstLine="640"/>
        <w:rPr>
          <w:rFonts w:ascii="仿宋" w:eastAsia="仿宋" w:hAnsi="仿宋" w:cs="仿宋"/>
          <w:sz w:val="32"/>
          <w:szCs w:val="32"/>
        </w:rPr>
      </w:pPr>
      <w:bookmarkStart w:id="1" w:name="_Hlk10023573"/>
      <w:r>
        <w:rPr>
          <w:rFonts w:ascii="仿宋" w:eastAsia="仿宋" w:hAnsi="仿宋" w:cs="仿宋" w:hint="eastAsia"/>
          <w:sz w:val="32"/>
          <w:szCs w:val="32"/>
        </w:rPr>
        <w:t>2019年，项目预算安排90.00万元，当年实际到位资金90.00万元，资金到位率100%。</w:t>
      </w:r>
    </w:p>
    <w:p w:rsidR="00A53C9F" w:rsidRDefault="00AD062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2、项目预算执行情况分析</w:t>
      </w:r>
    </w:p>
    <w:p w:rsidR="00A53C9F" w:rsidRDefault="00AD0626">
      <w:pPr>
        <w:pStyle w:val="BodyTextFirstIndent21"/>
        <w:spacing w:line="560" w:lineRule="exact"/>
        <w:ind w:firstLine="640"/>
        <w:rPr>
          <w:rFonts w:ascii="仿宋" w:eastAsia="仿宋" w:hAnsi="仿宋" w:cs="仿宋"/>
          <w:sz w:val="32"/>
          <w:szCs w:val="32"/>
        </w:rPr>
      </w:pPr>
      <w:r>
        <w:rPr>
          <w:rFonts w:ascii="仿宋" w:eastAsia="仿宋" w:hAnsi="仿宋" w:cs="仿宋" w:hint="eastAsia"/>
          <w:sz w:val="32"/>
          <w:szCs w:val="32"/>
        </w:rPr>
        <w:t>指标目标值为100%，设定分值20分。</w:t>
      </w:r>
    </w:p>
    <w:p w:rsidR="00A53C9F" w:rsidRDefault="00AD0626" w:rsidP="00283A86">
      <w:pPr>
        <w:pStyle w:val="BodyTextFirstIndent21"/>
        <w:spacing w:line="560" w:lineRule="exact"/>
        <w:ind w:firstLine="640"/>
        <w:rPr>
          <w:rFonts w:ascii="仿宋" w:eastAsia="仿宋" w:hAnsi="仿宋" w:cs="仿宋"/>
          <w:sz w:val="32"/>
          <w:szCs w:val="32"/>
        </w:rPr>
      </w:pPr>
      <w:r>
        <w:rPr>
          <w:rFonts w:ascii="仿宋" w:eastAsia="仿宋" w:hAnsi="仿宋" w:cs="仿宋" w:hint="eastAsia"/>
          <w:sz w:val="32"/>
          <w:szCs w:val="32"/>
        </w:rPr>
        <w:t>2019年度项目预算为90.00万元，实际支出为82.50万元，预算执行率为91.67%，得分18.33分，指标执行偏差率为-8.32%。</w:t>
      </w:r>
      <w:bookmarkEnd w:id="1"/>
      <w:r>
        <w:rPr>
          <w:rFonts w:ascii="仿宋" w:eastAsia="仿宋" w:hAnsi="仿宋" w:cs="仿宋" w:hint="eastAsia"/>
          <w:sz w:val="32"/>
          <w:szCs w:val="32"/>
        </w:rPr>
        <w:t>项目预算执行总体控制较优，具体情况如下表所示：</w:t>
      </w:r>
    </w:p>
    <w:tbl>
      <w:tblPr>
        <w:tblpPr w:leftFromText="180" w:rightFromText="180" w:vertAnchor="text" w:horzAnchor="page" w:tblpX="2252" w:tblpY="259"/>
        <w:tblOverlap w:val="never"/>
        <w:tblW w:w="7849" w:type="dxa"/>
        <w:tblLayout w:type="fixed"/>
        <w:tblCellMar>
          <w:left w:w="0" w:type="dxa"/>
          <w:right w:w="0" w:type="dxa"/>
        </w:tblCellMar>
        <w:tblLook w:val="04A0" w:firstRow="1" w:lastRow="0" w:firstColumn="1" w:lastColumn="0" w:noHBand="0" w:noVBand="1"/>
      </w:tblPr>
      <w:tblGrid>
        <w:gridCol w:w="2088"/>
        <w:gridCol w:w="1560"/>
        <w:gridCol w:w="1320"/>
        <w:gridCol w:w="1440"/>
        <w:gridCol w:w="1441"/>
      </w:tblGrid>
      <w:tr w:rsidR="00A53C9F">
        <w:trPr>
          <w:trHeight w:val="312"/>
        </w:trPr>
        <w:tc>
          <w:tcPr>
            <w:tcW w:w="7849" w:type="dxa"/>
            <w:gridSpan w:val="5"/>
            <w:tcBorders>
              <w:top w:val="nil"/>
              <w:left w:val="nil"/>
              <w:bottom w:val="nil"/>
              <w:right w:val="nil"/>
            </w:tcBorders>
            <w:shd w:val="clear" w:color="auto" w:fill="auto"/>
            <w:noWrap/>
            <w:tcMar>
              <w:top w:w="12" w:type="dxa"/>
              <w:left w:w="12" w:type="dxa"/>
              <w:right w:w="12" w:type="dxa"/>
            </w:tcMar>
            <w:vAlign w:val="center"/>
          </w:tcPr>
          <w:p w:rsidR="00A53C9F" w:rsidRDefault="00AD0626">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32"/>
                <w:szCs w:val="32"/>
                <w:lang w:bidi="ar"/>
              </w:rPr>
              <w:t>项目支出明细表</w:t>
            </w:r>
          </w:p>
        </w:tc>
      </w:tr>
      <w:tr w:rsidR="00A53C9F">
        <w:trPr>
          <w:trHeight w:val="303"/>
        </w:trPr>
        <w:tc>
          <w:tcPr>
            <w:tcW w:w="2088" w:type="dxa"/>
            <w:tcBorders>
              <w:top w:val="nil"/>
              <w:left w:val="nil"/>
              <w:bottom w:val="nil"/>
              <w:right w:val="nil"/>
            </w:tcBorders>
            <w:shd w:val="clear" w:color="auto" w:fill="auto"/>
            <w:noWrap/>
            <w:tcMar>
              <w:top w:w="12" w:type="dxa"/>
              <w:left w:w="12" w:type="dxa"/>
              <w:right w:w="12" w:type="dxa"/>
            </w:tcMar>
            <w:vAlign w:val="center"/>
          </w:tcPr>
          <w:p w:rsidR="00A53C9F" w:rsidRDefault="00AD0626">
            <w:pPr>
              <w:widowControl/>
              <w:jc w:val="left"/>
              <w:textAlignment w:val="center"/>
              <w:rPr>
                <w:rFonts w:ascii="仿宋" w:eastAsia="仿宋" w:hAnsi="仿宋" w:cs="仿宋"/>
                <w:color w:val="000000"/>
                <w:sz w:val="20"/>
                <w:szCs w:val="20"/>
              </w:rPr>
            </w:pPr>
            <w:r>
              <w:rPr>
                <w:rStyle w:val="font51"/>
                <w:rFonts w:ascii="仿宋" w:eastAsia="仿宋" w:hAnsi="仿宋" w:cs="仿宋" w:hint="default"/>
                <w:lang w:bidi="ar"/>
              </w:rPr>
              <w:t>单位：</w:t>
            </w:r>
            <w:r>
              <w:rPr>
                <w:rFonts w:ascii="仿宋" w:eastAsia="仿宋" w:hAnsi="仿宋" w:cs="仿宋" w:hint="eastAsia"/>
                <w:b/>
                <w:bCs/>
                <w:color w:val="000000"/>
                <w:kern w:val="0"/>
                <w:sz w:val="20"/>
                <w:szCs w:val="20"/>
                <w:lang w:bidi="ar"/>
              </w:rPr>
              <w:t>万元</w:t>
            </w:r>
          </w:p>
        </w:tc>
        <w:tc>
          <w:tcPr>
            <w:tcW w:w="1560" w:type="dxa"/>
            <w:tcBorders>
              <w:top w:val="nil"/>
              <w:left w:val="nil"/>
              <w:bottom w:val="nil"/>
              <w:right w:val="nil"/>
            </w:tcBorders>
            <w:shd w:val="clear" w:color="auto" w:fill="auto"/>
            <w:noWrap/>
            <w:tcMar>
              <w:top w:w="12" w:type="dxa"/>
              <w:left w:w="12" w:type="dxa"/>
              <w:right w:w="12" w:type="dxa"/>
            </w:tcMar>
            <w:vAlign w:val="center"/>
          </w:tcPr>
          <w:p w:rsidR="00A53C9F" w:rsidRDefault="00A53C9F">
            <w:pPr>
              <w:rPr>
                <w:rFonts w:ascii="仿宋" w:eastAsia="仿宋" w:hAnsi="仿宋" w:cs="仿宋"/>
                <w:color w:val="000000"/>
                <w:sz w:val="20"/>
                <w:szCs w:val="20"/>
              </w:rPr>
            </w:pPr>
          </w:p>
        </w:tc>
        <w:tc>
          <w:tcPr>
            <w:tcW w:w="1320" w:type="dxa"/>
            <w:tcBorders>
              <w:top w:val="nil"/>
              <w:left w:val="nil"/>
              <w:bottom w:val="nil"/>
              <w:right w:val="nil"/>
            </w:tcBorders>
            <w:shd w:val="clear" w:color="auto" w:fill="auto"/>
            <w:noWrap/>
            <w:tcMar>
              <w:top w:w="12" w:type="dxa"/>
              <w:left w:w="12" w:type="dxa"/>
              <w:right w:w="12" w:type="dxa"/>
            </w:tcMar>
            <w:vAlign w:val="center"/>
          </w:tcPr>
          <w:p w:rsidR="00A53C9F" w:rsidRDefault="00A53C9F">
            <w:pPr>
              <w:rPr>
                <w:rFonts w:ascii="仿宋" w:eastAsia="仿宋" w:hAnsi="仿宋" w:cs="仿宋"/>
                <w:color w:val="000000"/>
                <w:sz w:val="20"/>
                <w:szCs w:val="20"/>
              </w:rPr>
            </w:pPr>
          </w:p>
        </w:tc>
        <w:tc>
          <w:tcPr>
            <w:tcW w:w="1440" w:type="dxa"/>
            <w:tcBorders>
              <w:top w:val="nil"/>
              <w:left w:val="nil"/>
              <w:bottom w:val="nil"/>
              <w:right w:val="nil"/>
            </w:tcBorders>
            <w:shd w:val="clear" w:color="auto" w:fill="auto"/>
            <w:noWrap/>
            <w:tcMar>
              <w:top w:w="12" w:type="dxa"/>
              <w:left w:w="12" w:type="dxa"/>
              <w:right w:w="12" w:type="dxa"/>
            </w:tcMar>
            <w:vAlign w:val="center"/>
          </w:tcPr>
          <w:p w:rsidR="00A53C9F" w:rsidRDefault="00A53C9F">
            <w:pPr>
              <w:rPr>
                <w:rFonts w:ascii="仿宋" w:eastAsia="仿宋" w:hAnsi="仿宋" w:cs="仿宋"/>
                <w:color w:val="000000"/>
                <w:sz w:val="20"/>
                <w:szCs w:val="20"/>
              </w:rPr>
            </w:pPr>
          </w:p>
        </w:tc>
        <w:tc>
          <w:tcPr>
            <w:tcW w:w="1441" w:type="dxa"/>
            <w:tcBorders>
              <w:top w:val="nil"/>
              <w:left w:val="nil"/>
              <w:bottom w:val="nil"/>
              <w:right w:val="nil"/>
            </w:tcBorders>
            <w:shd w:val="clear" w:color="auto" w:fill="auto"/>
            <w:noWrap/>
            <w:tcMar>
              <w:top w:w="12" w:type="dxa"/>
              <w:left w:w="12" w:type="dxa"/>
              <w:right w:w="12" w:type="dxa"/>
            </w:tcMar>
            <w:vAlign w:val="center"/>
          </w:tcPr>
          <w:p w:rsidR="00A53C9F" w:rsidRDefault="00A53C9F">
            <w:pPr>
              <w:rPr>
                <w:rFonts w:ascii="仿宋" w:eastAsia="仿宋" w:hAnsi="仿宋" w:cs="仿宋"/>
                <w:color w:val="000000"/>
                <w:sz w:val="20"/>
                <w:szCs w:val="20"/>
              </w:rPr>
            </w:pPr>
          </w:p>
        </w:tc>
      </w:tr>
      <w:tr w:rsidR="00A53C9F">
        <w:trPr>
          <w:trHeight w:val="568"/>
        </w:trPr>
        <w:tc>
          <w:tcPr>
            <w:tcW w:w="2088" w:type="dxa"/>
            <w:tcBorders>
              <w:top w:val="single" w:sz="8" w:space="0" w:color="000000"/>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A53C9F" w:rsidRDefault="00AD0626">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项  目</w:t>
            </w:r>
          </w:p>
        </w:tc>
        <w:tc>
          <w:tcPr>
            <w:tcW w:w="1560" w:type="dxa"/>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A53C9F" w:rsidRDefault="00AD0626">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调整后预算数</w:t>
            </w:r>
          </w:p>
        </w:tc>
        <w:tc>
          <w:tcPr>
            <w:tcW w:w="1320" w:type="dxa"/>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A53C9F" w:rsidRDefault="00AD0626">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实际执行数</w:t>
            </w:r>
          </w:p>
        </w:tc>
        <w:tc>
          <w:tcPr>
            <w:tcW w:w="1440" w:type="dxa"/>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A53C9F" w:rsidRDefault="00AD0626">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差异数</w:t>
            </w:r>
          </w:p>
        </w:tc>
        <w:tc>
          <w:tcPr>
            <w:tcW w:w="1441" w:type="dxa"/>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A53C9F" w:rsidRDefault="00AD0626">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预算执行率</w:t>
            </w:r>
          </w:p>
        </w:tc>
      </w:tr>
      <w:tr w:rsidR="00A53C9F">
        <w:trPr>
          <w:trHeight w:val="303"/>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办公经费</w:t>
            </w:r>
          </w:p>
        </w:tc>
        <w:tc>
          <w:tcPr>
            <w:tcW w:w="156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33.50 </w:t>
            </w:r>
          </w:p>
        </w:tc>
        <w:tc>
          <w:tcPr>
            <w:tcW w:w="132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33.50 </w:t>
            </w: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0.00 </w:t>
            </w: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lang w:bidi="ar"/>
              </w:rPr>
              <w:t>100.00%</w:t>
            </w:r>
          </w:p>
        </w:tc>
      </w:tr>
      <w:tr w:rsidR="00A53C9F">
        <w:trPr>
          <w:trHeight w:val="303"/>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会议费</w:t>
            </w:r>
          </w:p>
        </w:tc>
        <w:tc>
          <w:tcPr>
            <w:tcW w:w="156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1.80 </w:t>
            </w:r>
          </w:p>
        </w:tc>
        <w:tc>
          <w:tcPr>
            <w:tcW w:w="132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53C9F">
            <w:pPr>
              <w:jc w:val="right"/>
              <w:rPr>
                <w:rFonts w:ascii="仿宋" w:eastAsia="仿宋" w:hAnsi="仿宋" w:cs="仿宋"/>
                <w:color w:val="000000"/>
                <w:sz w:val="24"/>
              </w:rPr>
            </w:pP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-1.80 </w:t>
            </w: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lang w:bidi="ar"/>
              </w:rPr>
              <w:t>0.00%</w:t>
            </w:r>
          </w:p>
        </w:tc>
      </w:tr>
      <w:tr w:rsidR="00A53C9F">
        <w:trPr>
          <w:trHeight w:val="303"/>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培训费</w:t>
            </w:r>
          </w:p>
        </w:tc>
        <w:tc>
          <w:tcPr>
            <w:tcW w:w="156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24.00 </w:t>
            </w:r>
          </w:p>
        </w:tc>
        <w:tc>
          <w:tcPr>
            <w:tcW w:w="132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24.00 </w:t>
            </w: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0.00 </w:t>
            </w: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lang w:bidi="ar"/>
              </w:rPr>
              <w:t>100.00%</w:t>
            </w:r>
          </w:p>
        </w:tc>
      </w:tr>
      <w:tr w:rsidR="00A53C9F">
        <w:trPr>
          <w:trHeight w:val="303"/>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公务接待费</w:t>
            </w:r>
          </w:p>
        </w:tc>
        <w:tc>
          <w:tcPr>
            <w:tcW w:w="156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5.00 </w:t>
            </w:r>
          </w:p>
        </w:tc>
        <w:tc>
          <w:tcPr>
            <w:tcW w:w="132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53C9F">
            <w:pPr>
              <w:jc w:val="right"/>
              <w:rPr>
                <w:rFonts w:ascii="仿宋" w:eastAsia="仿宋" w:hAnsi="仿宋" w:cs="仿宋"/>
                <w:color w:val="000000"/>
                <w:sz w:val="24"/>
              </w:rPr>
            </w:pP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-5.00 </w:t>
            </w: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lang w:bidi="ar"/>
              </w:rPr>
              <w:t>0.00%</w:t>
            </w:r>
          </w:p>
        </w:tc>
      </w:tr>
      <w:tr w:rsidR="00A53C9F">
        <w:trPr>
          <w:trHeight w:val="303"/>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其他资本性支出</w:t>
            </w:r>
          </w:p>
        </w:tc>
        <w:tc>
          <w:tcPr>
            <w:tcW w:w="156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20.70 </w:t>
            </w:r>
          </w:p>
        </w:tc>
        <w:tc>
          <w:tcPr>
            <w:tcW w:w="132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20.00 </w:t>
            </w: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-0.70 </w:t>
            </w: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lang w:bidi="ar"/>
              </w:rPr>
              <w:t>96.62%</w:t>
            </w:r>
          </w:p>
        </w:tc>
      </w:tr>
      <w:tr w:rsidR="00A53C9F">
        <w:trPr>
          <w:trHeight w:val="303"/>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2"/>
                <w:szCs w:val="22"/>
                <w:lang w:bidi="ar"/>
              </w:rPr>
              <w:t>其他商品和服务支出</w:t>
            </w:r>
          </w:p>
        </w:tc>
        <w:tc>
          <w:tcPr>
            <w:tcW w:w="156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5.00 </w:t>
            </w:r>
          </w:p>
        </w:tc>
        <w:tc>
          <w:tcPr>
            <w:tcW w:w="132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5.00 </w:t>
            </w: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0.00 </w:t>
            </w: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lang w:bidi="ar"/>
              </w:rPr>
              <w:t>100.00%</w:t>
            </w:r>
          </w:p>
        </w:tc>
      </w:tr>
      <w:tr w:rsidR="00A53C9F">
        <w:trPr>
          <w:trHeight w:val="303"/>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A53C9F" w:rsidRDefault="00A53C9F">
            <w:pPr>
              <w:widowControl/>
              <w:jc w:val="center"/>
              <w:textAlignment w:val="center"/>
              <w:rPr>
                <w:rFonts w:ascii="仿宋" w:eastAsia="仿宋" w:hAnsi="仿宋" w:cs="仿宋"/>
                <w:b/>
                <w:color w:val="000000"/>
                <w:kern w:val="0"/>
                <w:sz w:val="24"/>
                <w:lang w:bidi="ar"/>
              </w:rPr>
            </w:pPr>
          </w:p>
        </w:tc>
        <w:tc>
          <w:tcPr>
            <w:tcW w:w="1560" w:type="dxa"/>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A53C9F" w:rsidRDefault="00A53C9F">
            <w:pPr>
              <w:widowControl/>
              <w:jc w:val="right"/>
              <w:textAlignment w:val="center"/>
              <w:rPr>
                <w:rFonts w:ascii="仿宋" w:eastAsia="仿宋" w:hAnsi="仿宋" w:cs="仿宋"/>
                <w:b/>
                <w:color w:val="000000"/>
                <w:kern w:val="0"/>
                <w:sz w:val="24"/>
                <w:lang w:bidi="ar"/>
              </w:rPr>
            </w:pPr>
          </w:p>
        </w:tc>
        <w:tc>
          <w:tcPr>
            <w:tcW w:w="132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53C9F">
            <w:pPr>
              <w:widowControl/>
              <w:jc w:val="right"/>
              <w:textAlignment w:val="center"/>
              <w:rPr>
                <w:rFonts w:ascii="仿宋" w:eastAsia="仿宋" w:hAnsi="仿宋" w:cs="仿宋"/>
                <w:b/>
                <w:color w:val="000000"/>
                <w:kern w:val="0"/>
                <w:sz w:val="24"/>
                <w:lang w:bidi="ar"/>
              </w:rPr>
            </w:pP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53C9F">
            <w:pPr>
              <w:widowControl/>
              <w:jc w:val="right"/>
              <w:textAlignment w:val="center"/>
              <w:rPr>
                <w:rFonts w:ascii="仿宋" w:eastAsia="仿宋" w:hAnsi="仿宋" w:cs="仿宋"/>
                <w:b/>
                <w:color w:val="000000"/>
                <w:kern w:val="0"/>
                <w:sz w:val="24"/>
                <w:lang w:bidi="ar"/>
              </w:rPr>
            </w:pP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53C9F">
            <w:pPr>
              <w:widowControl/>
              <w:jc w:val="right"/>
              <w:textAlignment w:val="center"/>
              <w:rPr>
                <w:rFonts w:ascii="仿宋" w:eastAsia="仿宋" w:hAnsi="仿宋" w:cs="仿宋"/>
                <w:b/>
                <w:color w:val="000000"/>
                <w:kern w:val="0"/>
                <w:sz w:val="24"/>
                <w:lang w:bidi="ar"/>
              </w:rPr>
            </w:pPr>
          </w:p>
        </w:tc>
      </w:tr>
      <w:tr w:rsidR="00A53C9F">
        <w:trPr>
          <w:trHeight w:val="303"/>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合  计</w:t>
            </w:r>
          </w:p>
        </w:tc>
        <w:tc>
          <w:tcPr>
            <w:tcW w:w="1560" w:type="dxa"/>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A53C9F" w:rsidRDefault="00AD0626">
            <w:pPr>
              <w:widowControl/>
              <w:jc w:val="right"/>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 xml:space="preserve">90.00 </w:t>
            </w:r>
          </w:p>
        </w:tc>
        <w:tc>
          <w:tcPr>
            <w:tcW w:w="132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 xml:space="preserve">82.50 </w:t>
            </w: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 xml:space="preserve">-7.50 </w:t>
            </w: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53C9F" w:rsidRDefault="00AD0626">
            <w:pPr>
              <w:widowControl/>
              <w:jc w:val="right"/>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91.67%</w:t>
            </w:r>
          </w:p>
        </w:tc>
      </w:tr>
    </w:tbl>
    <w:p w:rsidR="00A53C9F" w:rsidRDefault="00AD062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3、项目资金管理情况分析</w:t>
      </w:r>
    </w:p>
    <w:p w:rsidR="00A53C9F" w:rsidRDefault="00AD0626">
      <w:pPr>
        <w:spacing w:line="560" w:lineRule="exact"/>
        <w:ind w:firstLineChars="200" w:firstLine="640"/>
        <w:rPr>
          <w:rFonts w:ascii="仿宋" w:eastAsia="仿宋" w:hAnsi="仿宋" w:cs="仿宋"/>
          <w:sz w:val="32"/>
          <w:szCs w:val="32"/>
        </w:rPr>
      </w:pPr>
      <w:bookmarkStart w:id="2" w:name="_Hlk10024281"/>
      <w:r>
        <w:rPr>
          <w:rFonts w:ascii="仿宋" w:eastAsia="仿宋" w:hAnsi="仿宋" w:cs="仿宋" w:hint="eastAsia"/>
          <w:sz w:val="32"/>
          <w:szCs w:val="32"/>
        </w:rPr>
        <w:t>省司法厅十分重视财务管理工作，严格遵守国家财经法律法规，认真执行省直行政事业单位财务收支管理相关规定，资金管理情况较好。一是财务管理制度健全有效。近几年，省司法厅结合自身实际修订印发了《湖北省司法厅财务管理办法》《湖北省司法厅会议费管理实施办法》《湖北省司法厅培训费管理实施办法》等财务管理制度，内部管理制度体系建设持续加强。二是资金使用合规。资金使用范围、对象明确，资金支付程序合规、手续完备，重大开支经过厅党组和厅办公会事前集体决策。三是资金支出真实、有效，无截留、挤占、挪用和虚列支出等情况。四是资金报账凭据及财务记录真实、完整、合规。</w:t>
      </w:r>
    </w:p>
    <w:bookmarkEnd w:id="2"/>
    <w:p w:rsidR="00A53C9F" w:rsidRDefault="00AD062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（二）绩效目标完成情况分析</w:t>
      </w:r>
    </w:p>
    <w:p w:rsidR="00A53C9F" w:rsidRDefault="00AD062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1、产出指标完成情况分析</w:t>
      </w:r>
    </w:p>
    <w:p w:rsidR="00A53C9F" w:rsidRDefault="00AD062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评价设定分值60分，综合评价得分60分，得分率100%。</w:t>
      </w:r>
    </w:p>
    <w:p w:rsidR="00A53C9F" w:rsidRDefault="00AD0626">
      <w:pPr>
        <w:spacing w:line="560" w:lineRule="exact"/>
        <w:ind w:firstLineChars="200" w:firstLine="643"/>
        <w:rPr>
          <w:rFonts w:ascii="仿宋" w:eastAsia="仿宋" w:hAnsi="仿宋" w:cs="仿宋"/>
          <w:color w:val="FF0000"/>
          <w:sz w:val="32"/>
          <w:szCs w:val="32"/>
        </w:rPr>
      </w:pPr>
      <w:r>
        <w:rPr>
          <w:rFonts w:ascii="仿宋" w:eastAsia="仿宋" w:hAnsi="仿宋" w:cs="仿宋" w:hint="eastAsia"/>
          <w:b/>
          <w:bCs/>
          <w:sz w:val="32"/>
          <w:szCs w:val="32"/>
        </w:rPr>
        <w:t>（1）查办案件数量</w:t>
      </w:r>
      <w:r>
        <w:rPr>
          <w:rFonts w:ascii="仿宋" w:eastAsia="仿宋" w:hAnsi="仿宋" w:cs="仿宋" w:hint="eastAsia"/>
          <w:sz w:val="32"/>
          <w:szCs w:val="32"/>
        </w:rPr>
        <w:tab/>
      </w:r>
      <w:r>
        <w:rPr>
          <w:rFonts w:ascii="仿宋" w:eastAsia="仿宋" w:hAnsi="仿宋" w:cs="仿宋" w:hint="eastAsia"/>
          <w:color w:val="FF0000"/>
          <w:sz w:val="32"/>
          <w:szCs w:val="32"/>
        </w:rPr>
        <w:tab/>
      </w:r>
    </w:p>
    <w:p w:rsidR="00A53C9F" w:rsidRDefault="00AD062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指标目标值为≥22次，设定分值20分。指标完成数值为32次，指标完成率100%，得分20分，指标执行偏差率为0。</w:t>
      </w:r>
    </w:p>
    <w:p w:rsidR="00A53C9F" w:rsidRDefault="00AD0626">
      <w:pPr>
        <w:spacing w:line="560" w:lineRule="exact"/>
        <w:ind w:left="1" w:firstLineChars="200" w:firstLine="640"/>
        <w:rPr>
          <w:rFonts w:ascii="仿宋" w:eastAsia="仿宋" w:hAnsi="仿宋" w:cs="仿宋"/>
          <w:sz w:val="32"/>
          <w:szCs w:val="32"/>
        </w:rPr>
      </w:pPr>
      <w:r>
        <w:rPr>
          <w:rFonts w:ascii="仿宋" w:eastAsia="仿宋" w:hAnsi="仿宋" w:cs="仿宋" w:hint="eastAsia"/>
          <w:sz w:val="32"/>
          <w:szCs w:val="32"/>
        </w:rPr>
        <w:t>纪检组把纪律作为管党治党的尺子，真正管住纪律，运用好监督执纪的“四种形态”，本着惩前毖后、治病救人的宗旨，畅通举报渠道，稳步开展巡察工作，坚持发现问题、</w:t>
      </w:r>
      <w:r>
        <w:rPr>
          <w:rFonts w:ascii="仿宋" w:eastAsia="仿宋" w:hAnsi="仿宋" w:cs="仿宋" w:hint="eastAsia"/>
          <w:sz w:val="32"/>
          <w:szCs w:val="32"/>
        </w:rPr>
        <w:lastRenderedPageBreak/>
        <w:t>形成震慑，以零容忍的态度整治腐败问题，营造风清气正的政治生态。2019年，发现问题线索、收到各类举报32次，均按照规定完成了核实、处理工作，结案率为100%。</w:t>
      </w:r>
    </w:p>
    <w:p w:rsidR="00A53C9F" w:rsidRDefault="00AD0626">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（2）全系统纪检干部培训人数</w:t>
      </w:r>
      <w:r>
        <w:rPr>
          <w:rFonts w:ascii="仿宋" w:eastAsia="仿宋" w:hAnsi="仿宋" w:cs="仿宋" w:hint="eastAsia"/>
          <w:b/>
          <w:bCs/>
          <w:sz w:val="32"/>
          <w:szCs w:val="32"/>
        </w:rPr>
        <w:tab/>
      </w:r>
      <w:r>
        <w:rPr>
          <w:rFonts w:ascii="仿宋" w:eastAsia="仿宋" w:hAnsi="仿宋" w:cs="仿宋" w:hint="eastAsia"/>
          <w:sz w:val="32"/>
          <w:szCs w:val="32"/>
        </w:rPr>
        <w:tab/>
      </w:r>
    </w:p>
    <w:p w:rsidR="00A53C9F" w:rsidRDefault="00AD062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指标目标值为≥100人次，设定分值20分。指标完成数值为181人次，指标完成率100%，得分20分，指标执行偏差率为0。</w:t>
      </w:r>
    </w:p>
    <w:p w:rsidR="00A53C9F" w:rsidRDefault="00AD0626">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（3）开展专项治理和执纪监督次数</w:t>
      </w:r>
      <w:r>
        <w:rPr>
          <w:rFonts w:ascii="仿宋" w:eastAsia="仿宋" w:hAnsi="仿宋" w:cs="仿宋" w:hint="eastAsia"/>
          <w:b/>
          <w:bCs/>
          <w:sz w:val="32"/>
          <w:szCs w:val="32"/>
        </w:rPr>
        <w:tab/>
      </w:r>
    </w:p>
    <w:p w:rsidR="00A53C9F" w:rsidRDefault="00AD062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指标目标值为≥5次，设定分值20分。指标完成数值为5次，指标完成率100%，得分20分，指标执行偏差率为0。</w:t>
      </w:r>
    </w:p>
    <w:p w:rsidR="00A53C9F" w:rsidRDefault="00AD062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纪检组坚持问题导向，旨在通过开展专项治理，聚焦重点部门、关键岗位和重点问题，发现问题、提出建议、促进整改、执纪问责。通过执纪监督，紧盯重点人、重点事，把监督的触角延伸到前端，坚持见人见事见物，直奔主题、直指问题的原则，提高纪检机关发现问题的能力。</w:t>
      </w:r>
    </w:p>
    <w:p w:rsidR="00A53C9F" w:rsidRDefault="00AD062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2、效益指标完成情况分析</w:t>
      </w:r>
    </w:p>
    <w:p w:rsidR="00A53C9F" w:rsidRDefault="00AD062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效益指标评价设定分值20分，综合评价得分20分，得分率100%。</w:t>
      </w:r>
    </w:p>
    <w:p w:rsidR="00A53C9F" w:rsidRDefault="00AD0626">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司法厅系统党员干部和使用公权力的公职人员违纪率: </w:t>
      </w:r>
      <w:r>
        <w:rPr>
          <w:rFonts w:ascii="仿宋" w:eastAsia="仿宋" w:hAnsi="仿宋" w:cs="仿宋" w:hint="eastAsia"/>
          <w:sz w:val="32"/>
          <w:szCs w:val="32"/>
        </w:rPr>
        <w:t>指标目标值为＜0.7%，设定分值20分。指标完成数值为0.34%，指标完成率100%，得分20分，指标执行偏差率为0。</w:t>
      </w:r>
    </w:p>
    <w:p w:rsidR="00A53C9F" w:rsidRDefault="00AD0626">
      <w:pPr>
        <w:pStyle w:val="BodyTextFirstIndent21"/>
        <w:spacing w:line="560" w:lineRule="exact"/>
        <w:ind w:firstLine="640"/>
        <w:rPr>
          <w:rFonts w:ascii="仿宋" w:eastAsia="仿宋" w:hAnsi="仿宋" w:cs="仿宋"/>
          <w:b/>
          <w:sz w:val="32"/>
          <w:szCs w:val="32"/>
        </w:rPr>
      </w:pPr>
      <w:r>
        <w:rPr>
          <w:rFonts w:ascii="仿宋" w:eastAsia="仿宋" w:hAnsi="仿宋" w:cs="仿宋" w:hint="eastAsia"/>
          <w:sz w:val="32"/>
          <w:szCs w:val="32"/>
        </w:rPr>
        <w:t>纪检组通过党风廉政建设，加大监督问责力度，营造风清气正的政治生态，有效地促进系统内党员干部及使用公权力公职人员的违纪率水平的下降。2019年，违纪率从2018</w:t>
      </w:r>
      <w:r>
        <w:rPr>
          <w:rFonts w:ascii="仿宋" w:eastAsia="仿宋" w:hAnsi="仿宋" w:cs="仿宋" w:hint="eastAsia"/>
          <w:sz w:val="32"/>
          <w:szCs w:val="32"/>
        </w:rPr>
        <w:lastRenderedPageBreak/>
        <w:t>年的0.49%下降到0.34%，未超过0.7%的控制目标。</w:t>
      </w:r>
    </w:p>
    <w:p w:rsidR="00A53C9F" w:rsidRDefault="00AD0626">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四、自评结果拟应用情况</w:t>
      </w:r>
    </w:p>
    <w:p w:rsidR="00A53C9F" w:rsidRDefault="00AD062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（一）下一步整改措施</w:t>
      </w:r>
    </w:p>
    <w:p w:rsidR="00A53C9F" w:rsidRDefault="00AD062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1、项目整改措施</w:t>
      </w:r>
    </w:p>
    <w:p w:rsidR="00A53C9F" w:rsidRDefault="00AD062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是坚持预算编制全面性和准确性等原则，进一步增强预算编制的科学性、前瞻性和准确性，不断提高预算编制质量。二是强化预算的刚性约束，按照批复的项目预算和单位年度工作计划，坚守“量入为出”等预算管理原则，严格执行预算。</w:t>
      </w:r>
      <w:r w:rsidR="006D53CD">
        <w:rPr>
          <w:rFonts w:ascii="仿宋" w:eastAsia="仿宋" w:hAnsi="仿宋" w:cs="仿宋" w:hint="eastAsia"/>
          <w:sz w:val="32"/>
          <w:szCs w:val="32"/>
        </w:rPr>
        <w:t>三是</w:t>
      </w:r>
      <w:r w:rsidR="006D53CD">
        <w:rPr>
          <w:rFonts w:ascii="仿宋" w:eastAsia="仿宋" w:hAnsi="仿宋" w:cs="仿宋"/>
          <w:sz w:val="32"/>
          <w:szCs w:val="32"/>
        </w:rPr>
        <w:t>由于</w:t>
      </w:r>
      <w:r w:rsidR="006D53CD">
        <w:rPr>
          <w:rFonts w:ascii="仿宋" w:eastAsia="仿宋" w:hAnsi="仿宋" w:cs="仿宋" w:hint="eastAsia"/>
          <w:sz w:val="32"/>
          <w:szCs w:val="32"/>
        </w:rPr>
        <w:t>机构</w:t>
      </w:r>
      <w:r w:rsidR="006D53CD">
        <w:rPr>
          <w:rFonts w:ascii="仿宋" w:eastAsia="仿宋" w:hAnsi="仿宋" w:cs="仿宋"/>
          <w:sz w:val="32"/>
          <w:szCs w:val="32"/>
        </w:rPr>
        <w:t>改革，</w:t>
      </w:r>
      <w:r w:rsidR="006D53CD">
        <w:rPr>
          <w:rFonts w:ascii="仿宋" w:eastAsia="仿宋" w:hAnsi="仿宋" w:cs="仿宋" w:hint="eastAsia"/>
          <w:sz w:val="32"/>
          <w:szCs w:val="32"/>
        </w:rPr>
        <w:t>省</w:t>
      </w:r>
      <w:r w:rsidR="006D53CD">
        <w:rPr>
          <w:rFonts w:ascii="仿宋" w:eastAsia="仿宋" w:hAnsi="仿宋" w:cs="仿宋"/>
          <w:sz w:val="32"/>
          <w:szCs w:val="32"/>
        </w:rPr>
        <w:t>纪委监委</w:t>
      </w:r>
      <w:r w:rsidR="006D53CD">
        <w:rPr>
          <w:rFonts w:ascii="仿宋" w:eastAsia="仿宋" w:hAnsi="仿宋" w:cs="仿宋" w:hint="eastAsia"/>
          <w:sz w:val="32"/>
          <w:szCs w:val="32"/>
        </w:rPr>
        <w:t>派驻省司法厅纪检组的</w:t>
      </w:r>
      <w:r w:rsidR="006D53CD">
        <w:rPr>
          <w:rFonts w:ascii="仿宋" w:eastAsia="仿宋" w:hAnsi="仿宋" w:cs="仿宋"/>
          <w:sz w:val="32"/>
          <w:szCs w:val="32"/>
        </w:rPr>
        <w:t>人员经费和项目经费</w:t>
      </w:r>
      <w:bookmarkStart w:id="3" w:name="_GoBack"/>
      <w:bookmarkEnd w:id="3"/>
      <w:r w:rsidR="006D53CD">
        <w:rPr>
          <w:rFonts w:ascii="仿宋" w:eastAsia="仿宋" w:hAnsi="仿宋" w:cs="仿宋" w:hint="eastAsia"/>
          <w:sz w:val="32"/>
          <w:szCs w:val="32"/>
        </w:rPr>
        <w:t>不再列入</w:t>
      </w:r>
      <w:r w:rsidR="006D53CD">
        <w:rPr>
          <w:rFonts w:ascii="仿宋" w:eastAsia="仿宋" w:hAnsi="仿宋" w:cs="仿宋"/>
          <w:sz w:val="32"/>
          <w:szCs w:val="32"/>
        </w:rPr>
        <w:t>省司法厅部门预算，省司法厅</w:t>
      </w:r>
      <w:r w:rsidR="006D53CD">
        <w:rPr>
          <w:rFonts w:ascii="仿宋" w:eastAsia="仿宋" w:hAnsi="仿宋" w:cs="仿宋" w:hint="eastAsia"/>
          <w:sz w:val="32"/>
          <w:szCs w:val="32"/>
        </w:rPr>
        <w:t>将继续</w:t>
      </w:r>
      <w:r w:rsidR="006D53CD">
        <w:rPr>
          <w:rFonts w:ascii="仿宋" w:eastAsia="仿宋" w:hAnsi="仿宋" w:cs="仿宋"/>
          <w:sz w:val="32"/>
          <w:szCs w:val="32"/>
        </w:rPr>
        <w:t>做好相关公用经费预算。</w:t>
      </w:r>
    </w:p>
    <w:p w:rsidR="00A53C9F" w:rsidRDefault="00AD062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2、绩效目标调整完善措施</w:t>
      </w:r>
    </w:p>
    <w:p w:rsidR="006D53CD" w:rsidRDefault="006D53C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由于</w:t>
      </w:r>
      <w:r>
        <w:rPr>
          <w:rFonts w:ascii="仿宋" w:eastAsia="仿宋" w:hAnsi="仿宋" w:cs="仿宋"/>
          <w:sz w:val="32"/>
          <w:szCs w:val="32"/>
        </w:rPr>
        <w:t>该项目</w:t>
      </w:r>
      <w:r>
        <w:rPr>
          <w:rFonts w:ascii="仿宋" w:eastAsia="仿宋" w:hAnsi="仿宋" w:cs="仿宋" w:hint="eastAsia"/>
          <w:sz w:val="32"/>
          <w:szCs w:val="32"/>
        </w:rPr>
        <w:t>2020年</w:t>
      </w:r>
      <w:r>
        <w:rPr>
          <w:rFonts w:ascii="仿宋" w:eastAsia="仿宋" w:hAnsi="仿宋" w:cs="仿宋"/>
          <w:sz w:val="32"/>
          <w:szCs w:val="32"/>
        </w:rPr>
        <w:t>不再列入省司法厅部门预算，相关绩效指标也将</w:t>
      </w:r>
      <w:r>
        <w:rPr>
          <w:rFonts w:ascii="仿宋" w:eastAsia="仿宋" w:hAnsi="仿宋" w:cs="仿宋" w:hint="eastAsia"/>
          <w:sz w:val="32"/>
          <w:szCs w:val="32"/>
        </w:rPr>
        <w:t>取消</w:t>
      </w:r>
      <w:r>
        <w:rPr>
          <w:rFonts w:ascii="仿宋" w:eastAsia="仿宋" w:hAnsi="仿宋" w:cs="仿宋"/>
          <w:sz w:val="32"/>
          <w:szCs w:val="32"/>
        </w:rPr>
        <w:t>。</w:t>
      </w:r>
    </w:p>
    <w:p w:rsidR="00A53C9F" w:rsidRDefault="00AD062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（二）拟与预算安排相结合</w:t>
      </w:r>
    </w:p>
    <w:p w:rsidR="00A53C9F" w:rsidRDefault="00AD062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1、绩效自评结果拟作为2020年度项目预算调整及2021年度项目预算编制和财政资金安排的重要依据。</w:t>
      </w:r>
    </w:p>
    <w:p w:rsidR="00A53C9F" w:rsidRDefault="00AD0626">
      <w:pPr>
        <w:pStyle w:val="BodyTextFirstIndent21"/>
        <w:spacing w:line="560" w:lineRule="exact"/>
        <w:ind w:firstLine="640"/>
        <w:rPr>
          <w:rFonts w:ascii="仿宋" w:eastAsia="仿宋" w:hAnsi="仿宋" w:cs="仿宋"/>
          <w:sz w:val="32"/>
          <w:szCs w:val="32"/>
        </w:rPr>
      </w:pPr>
      <w:r>
        <w:rPr>
          <w:rFonts w:ascii="仿宋" w:eastAsia="仿宋" w:hAnsi="仿宋" w:cs="仿宋" w:hint="eastAsia"/>
          <w:sz w:val="32"/>
          <w:szCs w:val="32"/>
        </w:rPr>
        <w:t>2、努力提高预算年度工作任务计划的精准性，进一步明确项目主管单位（部门）预算管理职责，重视业务骨干参与预算管理工作全过程的协调，切实加强预算管理工作。</w:t>
      </w:r>
    </w:p>
    <w:p w:rsidR="00A53C9F" w:rsidRDefault="00AD062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3、建立项目绩效考核机制，将项目实施过程和自评结果与人员绩效考核挂钩，增强项目实施人员的积极性和责任心，正确引导项目实施方向，确保实现项目目标。</w:t>
      </w:r>
    </w:p>
    <w:p w:rsidR="00A53C9F" w:rsidRDefault="00AD062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（三）拟公开情况</w:t>
      </w:r>
    </w:p>
    <w:p w:rsidR="00A53C9F" w:rsidRDefault="00AD062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1、按照省级部门预决算公开的要求，将项目绩效自评结果随部门预决算一并公开。</w:t>
      </w:r>
    </w:p>
    <w:p w:rsidR="00A53C9F" w:rsidRDefault="00AD062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2、在司法厅内部进行通报，并按照政府信息公开的有关规定在省司法厅公示。</w:t>
      </w:r>
    </w:p>
    <w:p w:rsidR="00A53C9F" w:rsidRDefault="00AD0626">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五、2019年度纪检监察项目绩效自评表（附后）</w:t>
      </w:r>
    </w:p>
    <w:p w:rsidR="00A53C9F" w:rsidRDefault="00A53C9F">
      <w:pPr>
        <w:pStyle w:val="21"/>
        <w:spacing w:line="560" w:lineRule="exact"/>
        <w:ind w:firstLineChars="0" w:firstLine="0"/>
        <w:rPr>
          <w:rFonts w:ascii="仿宋" w:eastAsia="仿宋" w:hAnsi="仿宋" w:cs="仿宋"/>
          <w:sz w:val="32"/>
          <w:szCs w:val="32"/>
        </w:rPr>
      </w:pPr>
    </w:p>
    <w:p w:rsidR="00A53C9F" w:rsidRDefault="00A53C9F">
      <w:pPr>
        <w:pStyle w:val="21"/>
        <w:spacing w:line="560" w:lineRule="exact"/>
        <w:ind w:firstLine="640"/>
        <w:rPr>
          <w:rFonts w:ascii="仿宋" w:eastAsia="仿宋" w:hAnsi="仿宋" w:cs="仿宋"/>
          <w:sz w:val="32"/>
          <w:szCs w:val="32"/>
        </w:rPr>
      </w:pPr>
    </w:p>
    <w:p w:rsidR="00A53C9F" w:rsidRDefault="00A53C9F">
      <w:pPr>
        <w:pStyle w:val="21"/>
        <w:spacing w:line="560" w:lineRule="exact"/>
        <w:ind w:firstLine="640"/>
        <w:rPr>
          <w:rFonts w:ascii="仿宋" w:eastAsia="仿宋" w:hAnsi="仿宋" w:cs="仿宋"/>
          <w:sz w:val="32"/>
          <w:szCs w:val="32"/>
        </w:rPr>
      </w:pPr>
    </w:p>
    <w:p w:rsidR="00A53C9F" w:rsidRDefault="00AD0626">
      <w:pPr>
        <w:spacing w:line="5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湖北省司法厅绩效自评工作小组</w:t>
      </w:r>
    </w:p>
    <w:p w:rsidR="00A53C9F" w:rsidRDefault="00AD0626">
      <w:pPr>
        <w:spacing w:line="5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2020年6月25日</w:t>
      </w:r>
    </w:p>
    <w:sectPr w:rsidR="00A53C9F">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19F" w:rsidRDefault="00A5519F">
      <w:r>
        <w:separator/>
      </w:r>
    </w:p>
  </w:endnote>
  <w:endnote w:type="continuationSeparator" w:id="0">
    <w:p w:rsidR="00A5519F" w:rsidRDefault="00A5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9F" w:rsidRDefault="00A5519F">
    <w:pPr>
      <w:pStyle w:val="ab"/>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A53C9F" w:rsidRDefault="00AD0626">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AF1C72">
                  <w:rPr>
                    <w:noProof/>
                  </w:rPr>
                  <w:t>- 5 -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19F" w:rsidRDefault="00A5519F">
      <w:r>
        <w:separator/>
      </w:r>
    </w:p>
  </w:footnote>
  <w:footnote w:type="continuationSeparator" w:id="0">
    <w:p w:rsidR="00A5519F" w:rsidRDefault="00A55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34F8"/>
    <w:rsid w:val="00014193"/>
    <w:rsid w:val="00015D32"/>
    <w:rsid w:val="00017256"/>
    <w:rsid w:val="00033CFB"/>
    <w:rsid w:val="00055C10"/>
    <w:rsid w:val="00056E24"/>
    <w:rsid w:val="00071A50"/>
    <w:rsid w:val="00075742"/>
    <w:rsid w:val="0009474B"/>
    <w:rsid w:val="000A37C2"/>
    <w:rsid w:val="000B1730"/>
    <w:rsid w:val="000B2C8C"/>
    <w:rsid w:val="000B3DAB"/>
    <w:rsid w:val="000C6302"/>
    <w:rsid w:val="000D0A1B"/>
    <w:rsid w:val="000D658E"/>
    <w:rsid w:val="000F0A22"/>
    <w:rsid w:val="0010131B"/>
    <w:rsid w:val="0012210B"/>
    <w:rsid w:val="00126D05"/>
    <w:rsid w:val="00127DEF"/>
    <w:rsid w:val="00131B23"/>
    <w:rsid w:val="001354CA"/>
    <w:rsid w:val="00146471"/>
    <w:rsid w:val="0014705A"/>
    <w:rsid w:val="00196952"/>
    <w:rsid w:val="001B0C45"/>
    <w:rsid w:val="001C4F8E"/>
    <w:rsid w:val="001D25CD"/>
    <w:rsid w:val="001D4B28"/>
    <w:rsid w:val="001D5772"/>
    <w:rsid w:val="001E3D70"/>
    <w:rsid w:val="001F54EC"/>
    <w:rsid w:val="001F66FF"/>
    <w:rsid w:val="00201BC0"/>
    <w:rsid w:val="00222CD1"/>
    <w:rsid w:val="00233521"/>
    <w:rsid w:val="0023534D"/>
    <w:rsid w:val="00250580"/>
    <w:rsid w:val="002600D4"/>
    <w:rsid w:val="00263675"/>
    <w:rsid w:val="00277927"/>
    <w:rsid w:val="00283A86"/>
    <w:rsid w:val="00283F17"/>
    <w:rsid w:val="00284A88"/>
    <w:rsid w:val="00286445"/>
    <w:rsid w:val="00293208"/>
    <w:rsid w:val="002B0E91"/>
    <w:rsid w:val="002D6084"/>
    <w:rsid w:val="002E1BF5"/>
    <w:rsid w:val="002E5C9D"/>
    <w:rsid w:val="002E75EC"/>
    <w:rsid w:val="002F1806"/>
    <w:rsid w:val="002F4FB9"/>
    <w:rsid w:val="003039D8"/>
    <w:rsid w:val="00310105"/>
    <w:rsid w:val="00310286"/>
    <w:rsid w:val="003142D1"/>
    <w:rsid w:val="0031793D"/>
    <w:rsid w:val="00320673"/>
    <w:rsid w:val="00347AF2"/>
    <w:rsid w:val="00357368"/>
    <w:rsid w:val="00383A9C"/>
    <w:rsid w:val="00383EEA"/>
    <w:rsid w:val="003867DA"/>
    <w:rsid w:val="003B13A4"/>
    <w:rsid w:val="003C4854"/>
    <w:rsid w:val="003C6035"/>
    <w:rsid w:val="003D2EB9"/>
    <w:rsid w:val="003E1477"/>
    <w:rsid w:val="003F15F6"/>
    <w:rsid w:val="00417393"/>
    <w:rsid w:val="004224A9"/>
    <w:rsid w:val="00423CE3"/>
    <w:rsid w:val="00430B99"/>
    <w:rsid w:val="00437305"/>
    <w:rsid w:val="00450314"/>
    <w:rsid w:val="00450759"/>
    <w:rsid w:val="00450FF2"/>
    <w:rsid w:val="00454D3E"/>
    <w:rsid w:val="004660A6"/>
    <w:rsid w:val="00472BA0"/>
    <w:rsid w:val="00480194"/>
    <w:rsid w:val="00482437"/>
    <w:rsid w:val="00487EC3"/>
    <w:rsid w:val="004A34F8"/>
    <w:rsid w:val="004A415C"/>
    <w:rsid w:val="004C2623"/>
    <w:rsid w:val="004C4E99"/>
    <w:rsid w:val="004F3E4B"/>
    <w:rsid w:val="00520F17"/>
    <w:rsid w:val="00523AFC"/>
    <w:rsid w:val="00532344"/>
    <w:rsid w:val="00556815"/>
    <w:rsid w:val="00563F9C"/>
    <w:rsid w:val="0056652A"/>
    <w:rsid w:val="0056766E"/>
    <w:rsid w:val="00576CA8"/>
    <w:rsid w:val="00580B49"/>
    <w:rsid w:val="00590D99"/>
    <w:rsid w:val="005A1754"/>
    <w:rsid w:val="005B2723"/>
    <w:rsid w:val="005B5C33"/>
    <w:rsid w:val="005B64E5"/>
    <w:rsid w:val="005C3D6A"/>
    <w:rsid w:val="005C421E"/>
    <w:rsid w:val="005D386A"/>
    <w:rsid w:val="005D3A96"/>
    <w:rsid w:val="005E54E7"/>
    <w:rsid w:val="005E6DD8"/>
    <w:rsid w:val="006035B2"/>
    <w:rsid w:val="00612A79"/>
    <w:rsid w:val="00613245"/>
    <w:rsid w:val="00616E7F"/>
    <w:rsid w:val="00620956"/>
    <w:rsid w:val="00620EEC"/>
    <w:rsid w:val="006259D2"/>
    <w:rsid w:val="0064203C"/>
    <w:rsid w:val="00651943"/>
    <w:rsid w:val="006533EB"/>
    <w:rsid w:val="00664218"/>
    <w:rsid w:val="006661ED"/>
    <w:rsid w:val="006719C7"/>
    <w:rsid w:val="00677CF1"/>
    <w:rsid w:val="00685C43"/>
    <w:rsid w:val="006A3ABE"/>
    <w:rsid w:val="006B046D"/>
    <w:rsid w:val="006C6B1E"/>
    <w:rsid w:val="006D53CD"/>
    <w:rsid w:val="006D5D5A"/>
    <w:rsid w:val="006E17C2"/>
    <w:rsid w:val="00700145"/>
    <w:rsid w:val="007167C3"/>
    <w:rsid w:val="00723D7E"/>
    <w:rsid w:val="007313A5"/>
    <w:rsid w:val="00732BD7"/>
    <w:rsid w:val="007350C0"/>
    <w:rsid w:val="00745E3E"/>
    <w:rsid w:val="0075070F"/>
    <w:rsid w:val="00750A3F"/>
    <w:rsid w:val="00751C65"/>
    <w:rsid w:val="007542A0"/>
    <w:rsid w:val="00770666"/>
    <w:rsid w:val="00770954"/>
    <w:rsid w:val="00773DB4"/>
    <w:rsid w:val="00774FE9"/>
    <w:rsid w:val="0078420A"/>
    <w:rsid w:val="00785538"/>
    <w:rsid w:val="007C45A4"/>
    <w:rsid w:val="007C783D"/>
    <w:rsid w:val="007E1E4F"/>
    <w:rsid w:val="008073B9"/>
    <w:rsid w:val="00837B7F"/>
    <w:rsid w:val="00846139"/>
    <w:rsid w:val="00847904"/>
    <w:rsid w:val="00875393"/>
    <w:rsid w:val="00885211"/>
    <w:rsid w:val="00891F19"/>
    <w:rsid w:val="00894387"/>
    <w:rsid w:val="008A38E4"/>
    <w:rsid w:val="008D3C64"/>
    <w:rsid w:val="008D43EF"/>
    <w:rsid w:val="008F0DCE"/>
    <w:rsid w:val="008F20AD"/>
    <w:rsid w:val="008F47CC"/>
    <w:rsid w:val="00901A8E"/>
    <w:rsid w:val="0092077B"/>
    <w:rsid w:val="00926F9E"/>
    <w:rsid w:val="00934940"/>
    <w:rsid w:val="0093716C"/>
    <w:rsid w:val="0093797A"/>
    <w:rsid w:val="009578E6"/>
    <w:rsid w:val="009910CE"/>
    <w:rsid w:val="0099318D"/>
    <w:rsid w:val="00997736"/>
    <w:rsid w:val="009A11C6"/>
    <w:rsid w:val="009A57E4"/>
    <w:rsid w:val="009B39AC"/>
    <w:rsid w:val="009C2CD4"/>
    <w:rsid w:val="009C348E"/>
    <w:rsid w:val="009C69B4"/>
    <w:rsid w:val="009E5168"/>
    <w:rsid w:val="009E7104"/>
    <w:rsid w:val="009E7258"/>
    <w:rsid w:val="009F0F5D"/>
    <w:rsid w:val="009F4626"/>
    <w:rsid w:val="009F67BE"/>
    <w:rsid w:val="00A00A2F"/>
    <w:rsid w:val="00A0382D"/>
    <w:rsid w:val="00A05DD4"/>
    <w:rsid w:val="00A160E5"/>
    <w:rsid w:val="00A16528"/>
    <w:rsid w:val="00A24573"/>
    <w:rsid w:val="00A25F49"/>
    <w:rsid w:val="00A26C66"/>
    <w:rsid w:val="00A46CA8"/>
    <w:rsid w:val="00A53C9F"/>
    <w:rsid w:val="00A54454"/>
    <w:rsid w:val="00A5474F"/>
    <w:rsid w:val="00A5519F"/>
    <w:rsid w:val="00A573F9"/>
    <w:rsid w:val="00A72844"/>
    <w:rsid w:val="00A83873"/>
    <w:rsid w:val="00A92022"/>
    <w:rsid w:val="00A93FBB"/>
    <w:rsid w:val="00AA4359"/>
    <w:rsid w:val="00AA5BEA"/>
    <w:rsid w:val="00AA66CA"/>
    <w:rsid w:val="00AA6CA5"/>
    <w:rsid w:val="00AA6CB6"/>
    <w:rsid w:val="00AC7DE3"/>
    <w:rsid w:val="00AD0626"/>
    <w:rsid w:val="00AF18A0"/>
    <w:rsid w:val="00AF1C72"/>
    <w:rsid w:val="00AF2695"/>
    <w:rsid w:val="00AF50A1"/>
    <w:rsid w:val="00B050C6"/>
    <w:rsid w:val="00B119E7"/>
    <w:rsid w:val="00B154EB"/>
    <w:rsid w:val="00B3312E"/>
    <w:rsid w:val="00B35E4C"/>
    <w:rsid w:val="00B605A3"/>
    <w:rsid w:val="00B63948"/>
    <w:rsid w:val="00B707BC"/>
    <w:rsid w:val="00B71C95"/>
    <w:rsid w:val="00B737AD"/>
    <w:rsid w:val="00B92CBA"/>
    <w:rsid w:val="00B97258"/>
    <w:rsid w:val="00BB67F8"/>
    <w:rsid w:val="00BB6896"/>
    <w:rsid w:val="00BC5BF0"/>
    <w:rsid w:val="00BD7812"/>
    <w:rsid w:val="00BE1FDB"/>
    <w:rsid w:val="00BE25FF"/>
    <w:rsid w:val="00BE5131"/>
    <w:rsid w:val="00BF3AB2"/>
    <w:rsid w:val="00C00264"/>
    <w:rsid w:val="00C1123F"/>
    <w:rsid w:val="00C1552B"/>
    <w:rsid w:val="00C32AF6"/>
    <w:rsid w:val="00C364AC"/>
    <w:rsid w:val="00C36615"/>
    <w:rsid w:val="00C54A3D"/>
    <w:rsid w:val="00C54A92"/>
    <w:rsid w:val="00C5539E"/>
    <w:rsid w:val="00C70A7F"/>
    <w:rsid w:val="00C77E95"/>
    <w:rsid w:val="00C83D94"/>
    <w:rsid w:val="00C96558"/>
    <w:rsid w:val="00CA1C6B"/>
    <w:rsid w:val="00CC027C"/>
    <w:rsid w:val="00CC74DF"/>
    <w:rsid w:val="00CE2904"/>
    <w:rsid w:val="00CE79D2"/>
    <w:rsid w:val="00CF324C"/>
    <w:rsid w:val="00CF4CF7"/>
    <w:rsid w:val="00CF7292"/>
    <w:rsid w:val="00D10D6C"/>
    <w:rsid w:val="00D12E12"/>
    <w:rsid w:val="00D14EF8"/>
    <w:rsid w:val="00D15A08"/>
    <w:rsid w:val="00D20460"/>
    <w:rsid w:val="00D2205A"/>
    <w:rsid w:val="00D2492C"/>
    <w:rsid w:val="00D277AA"/>
    <w:rsid w:val="00D33997"/>
    <w:rsid w:val="00D429FD"/>
    <w:rsid w:val="00D5748A"/>
    <w:rsid w:val="00D63F21"/>
    <w:rsid w:val="00D654A8"/>
    <w:rsid w:val="00D70A4C"/>
    <w:rsid w:val="00D74CB5"/>
    <w:rsid w:val="00D74D0B"/>
    <w:rsid w:val="00D920B2"/>
    <w:rsid w:val="00D95A9C"/>
    <w:rsid w:val="00DA5F85"/>
    <w:rsid w:val="00DC6A9B"/>
    <w:rsid w:val="00DD2B68"/>
    <w:rsid w:val="00DF16D2"/>
    <w:rsid w:val="00DF5970"/>
    <w:rsid w:val="00E01549"/>
    <w:rsid w:val="00E0755F"/>
    <w:rsid w:val="00E238A7"/>
    <w:rsid w:val="00E23F91"/>
    <w:rsid w:val="00E33412"/>
    <w:rsid w:val="00E40A0F"/>
    <w:rsid w:val="00E41509"/>
    <w:rsid w:val="00E63356"/>
    <w:rsid w:val="00E658BE"/>
    <w:rsid w:val="00E81CAF"/>
    <w:rsid w:val="00E82D0B"/>
    <w:rsid w:val="00E955CD"/>
    <w:rsid w:val="00EA283D"/>
    <w:rsid w:val="00EA3C1C"/>
    <w:rsid w:val="00EA473C"/>
    <w:rsid w:val="00EB7744"/>
    <w:rsid w:val="00EC489B"/>
    <w:rsid w:val="00ED0589"/>
    <w:rsid w:val="00ED4E6D"/>
    <w:rsid w:val="00EE40A8"/>
    <w:rsid w:val="00EE7B1F"/>
    <w:rsid w:val="00F0263D"/>
    <w:rsid w:val="00F02EB9"/>
    <w:rsid w:val="00F10394"/>
    <w:rsid w:val="00F153F0"/>
    <w:rsid w:val="00F1704C"/>
    <w:rsid w:val="00F1794F"/>
    <w:rsid w:val="00F3389A"/>
    <w:rsid w:val="00F36737"/>
    <w:rsid w:val="00F47932"/>
    <w:rsid w:val="00F50FB4"/>
    <w:rsid w:val="00F5460F"/>
    <w:rsid w:val="00F6251D"/>
    <w:rsid w:val="00F810DF"/>
    <w:rsid w:val="00F81762"/>
    <w:rsid w:val="00F84E08"/>
    <w:rsid w:val="00F84EC4"/>
    <w:rsid w:val="00F859F4"/>
    <w:rsid w:val="00F91AA6"/>
    <w:rsid w:val="00FA0667"/>
    <w:rsid w:val="00FA2997"/>
    <w:rsid w:val="00FB0671"/>
    <w:rsid w:val="00FB4B76"/>
    <w:rsid w:val="00FC5378"/>
    <w:rsid w:val="00FC554A"/>
    <w:rsid w:val="00FD589F"/>
    <w:rsid w:val="00FE48CF"/>
    <w:rsid w:val="016F3A5F"/>
    <w:rsid w:val="035C2FC7"/>
    <w:rsid w:val="06DD47C2"/>
    <w:rsid w:val="0A045449"/>
    <w:rsid w:val="0A8E334C"/>
    <w:rsid w:val="0F5A5A89"/>
    <w:rsid w:val="104033E6"/>
    <w:rsid w:val="108B10AE"/>
    <w:rsid w:val="121851A9"/>
    <w:rsid w:val="127A3009"/>
    <w:rsid w:val="12AB2307"/>
    <w:rsid w:val="13F36614"/>
    <w:rsid w:val="157408BF"/>
    <w:rsid w:val="15ED050F"/>
    <w:rsid w:val="175E6E1E"/>
    <w:rsid w:val="18342202"/>
    <w:rsid w:val="187C1801"/>
    <w:rsid w:val="18B65CF4"/>
    <w:rsid w:val="194959E9"/>
    <w:rsid w:val="1A330FCB"/>
    <w:rsid w:val="1AD87998"/>
    <w:rsid w:val="1AE75654"/>
    <w:rsid w:val="1DE34D3A"/>
    <w:rsid w:val="1E782A30"/>
    <w:rsid w:val="20371318"/>
    <w:rsid w:val="213124D1"/>
    <w:rsid w:val="225616F4"/>
    <w:rsid w:val="229D2A85"/>
    <w:rsid w:val="22A70CF5"/>
    <w:rsid w:val="26C51307"/>
    <w:rsid w:val="295636FD"/>
    <w:rsid w:val="29D951C8"/>
    <w:rsid w:val="2A7A73FA"/>
    <w:rsid w:val="2FC77DD8"/>
    <w:rsid w:val="300C3E11"/>
    <w:rsid w:val="31DE309F"/>
    <w:rsid w:val="32393C57"/>
    <w:rsid w:val="323973C9"/>
    <w:rsid w:val="33594CF3"/>
    <w:rsid w:val="341706D2"/>
    <w:rsid w:val="387256F1"/>
    <w:rsid w:val="3917407C"/>
    <w:rsid w:val="39AA499F"/>
    <w:rsid w:val="3E563102"/>
    <w:rsid w:val="3E733313"/>
    <w:rsid w:val="3F2C7153"/>
    <w:rsid w:val="40AF056F"/>
    <w:rsid w:val="41706EBD"/>
    <w:rsid w:val="42F07A3A"/>
    <w:rsid w:val="46945C9E"/>
    <w:rsid w:val="469F05C7"/>
    <w:rsid w:val="46D73B1F"/>
    <w:rsid w:val="47A52642"/>
    <w:rsid w:val="4904044F"/>
    <w:rsid w:val="493B668B"/>
    <w:rsid w:val="49B25ECD"/>
    <w:rsid w:val="4F1D21B1"/>
    <w:rsid w:val="4F753FA8"/>
    <w:rsid w:val="50D447C3"/>
    <w:rsid w:val="53481D75"/>
    <w:rsid w:val="53AA241C"/>
    <w:rsid w:val="57322864"/>
    <w:rsid w:val="590D3C51"/>
    <w:rsid w:val="5A3F76CA"/>
    <w:rsid w:val="5B146A8E"/>
    <w:rsid w:val="5F674F9E"/>
    <w:rsid w:val="5FA60121"/>
    <w:rsid w:val="601D475C"/>
    <w:rsid w:val="60B10AC5"/>
    <w:rsid w:val="60CF5F1F"/>
    <w:rsid w:val="623C61A8"/>
    <w:rsid w:val="624F4F07"/>
    <w:rsid w:val="6644334E"/>
    <w:rsid w:val="67044EC6"/>
    <w:rsid w:val="6953261C"/>
    <w:rsid w:val="6A9F42DB"/>
    <w:rsid w:val="6AAB3C13"/>
    <w:rsid w:val="6F202E36"/>
    <w:rsid w:val="71EE2EBC"/>
    <w:rsid w:val="724D2FA8"/>
    <w:rsid w:val="72535592"/>
    <w:rsid w:val="741D3655"/>
    <w:rsid w:val="763763A4"/>
    <w:rsid w:val="7A6B5AF6"/>
    <w:rsid w:val="7B4E5E47"/>
    <w:rsid w:val="7DE10026"/>
    <w:rsid w:val="7EA96BA4"/>
    <w:rsid w:val="7EE72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EB37BEE"/>
  <w15:docId w15:val="{EC9667D1-E6A7-4E9A-89FA-7D0A98B9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1"/>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a"/>
    <w:qFormat/>
    <w:pPr>
      <w:ind w:firstLineChars="200" w:firstLine="880"/>
    </w:pPr>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endnote text"/>
    <w:basedOn w:val="a"/>
    <w:link w:val="a8"/>
    <w:uiPriority w:val="99"/>
    <w:semiHidden/>
    <w:unhideWhenUsed/>
    <w:qFormat/>
    <w:pPr>
      <w:snapToGrid w:val="0"/>
      <w:jc w:val="left"/>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
    <w:name w:val="annotation subject"/>
    <w:basedOn w:val="a3"/>
    <w:next w:val="a3"/>
    <w:link w:val="af0"/>
    <w:uiPriority w:val="99"/>
    <w:semiHidden/>
    <w:unhideWhenUsed/>
    <w:qFormat/>
    <w:rPr>
      <w:b/>
      <w:bCs/>
    </w:rPr>
  </w:style>
  <w:style w:type="character" w:styleId="af1">
    <w:name w:val="endnote reference"/>
    <w:basedOn w:val="a0"/>
    <w:uiPriority w:val="99"/>
    <w:semiHidden/>
    <w:unhideWhenUsed/>
    <w:qFormat/>
    <w:rPr>
      <w:vertAlign w:val="superscript"/>
    </w:rPr>
  </w:style>
  <w:style w:type="character" w:styleId="af2">
    <w:name w:val="Hyperlink"/>
    <w:basedOn w:val="a0"/>
    <w:uiPriority w:val="99"/>
    <w:unhideWhenUsed/>
    <w:qFormat/>
    <w:rPr>
      <w:color w:val="0000FF" w:themeColor="hyperlink"/>
      <w:u w:val="single"/>
    </w:rPr>
  </w:style>
  <w:style w:type="character" w:styleId="af3">
    <w:name w:val="annotation reference"/>
    <w:uiPriority w:val="99"/>
    <w:unhideWhenUsed/>
    <w:qFormat/>
    <w:rPr>
      <w:sz w:val="21"/>
      <w:szCs w:val="21"/>
    </w:rPr>
  </w:style>
  <w:style w:type="paragraph" w:customStyle="1" w:styleId="BodyTextFirstIndent21">
    <w:name w:val="Body Text First Indent 21"/>
    <w:basedOn w:val="a"/>
    <w:qFormat/>
    <w:pPr>
      <w:ind w:firstLineChars="200" w:firstLine="880"/>
    </w:p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af0">
    <w:name w:val="批注主题 字符"/>
    <w:basedOn w:val="a4"/>
    <w:link w:val="af"/>
    <w:uiPriority w:val="99"/>
    <w:semiHidden/>
    <w:qFormat/>
    <w:rPr>
      <w:rFonts w:ascii="Times New Roman" w:eastAsia="宋体" w:hAnsi="Times New Roman" w:cs="Times New Roman"/>
      <w:b/>
      <w:bCs/>
      <w:szCs w:val="24"/>
    </w:rPr>
  </w:style>
  <w:style w:type="character" w:customStyle="1" w:styleId="a8">
    <w:name w:val="尾注文本 字符"/>
    <w:basedOn w:val="a0"/>
    <w:link w:val="a7"/>
    <w:uiPriority w:val="99"/>
    <w:semiHidden/>
    <w:qFormat/>
    <w:rPr>
      <w:rFonts w:ascii="Times New Roman" w:eastAsia="宋体" w:hAnsi="Times New Roman" w:cs="Times New Roman"/>
      <w:szCs w:val="24"/>
    </w:rPr>
  </w:style>
  <w:style w:type="character" w:customStyle="1" w:styleId="font11">
    <w:name w:val="font11"/>
    <w:basedOn w:val="a0"/>
    <w:qFormat/>
    <w:rPr>
      <w:rFonts w:ascii="仿宋_GB2312" w:eastAsia="仿宋_GB2312" w:cs="仿宋_GB2312" w:hint="eastAsia"/>
      <w:b/>
      <w:color w:val="000000"/>
      <w:sz w:val="20"/>
      <w:szCs w:val="20"/>
      <w:u w:val="none"/>
    </w:rPr>
  </w:style>
  <w:style w:type="character" w:customStyle="1" w:styleId="font61">
    <w:name w:val="font61"/>
    <w:basedOn w:val="a0"/>
    <w:qFormat/>
    <w:rPr>
      <w:rFonts w:ascii="仿宋_GB2312" w:eastAsia="仿宋_GB2312" w:cs="仿宋_GB2312" w:hint="eastAsia"/>
      <w:color w:val="000000"/>
      <w:sz w:val="20"/>
      <w:szCs w:val="20"/>
      <w:u w:val="none"/>
    </w:rPr>
  </w:style>
  <w:style w:type="character" w:customStyle="1" w:styleId="font01">
    <w:name w:val="font01"/>
    <w:basedOn w:val="a0"/>
    <w:qFormat/>
    <w:rPr>
      <w:rFonts w:ascii="仿宋_GB2312" w:eastAsia="仿宋_GB2312" w:cs="仿宋_GB2312" w:hint="eastAsia"/>
      <w:color w:val="000000"/>
      <w:sz w:val="20"/>
      <w:szCs w:val="20"/>
      <w:u w:val="none"/>
    </w:rPr>
  </w:style>
  <w:style w:type="character" w:customStyle="1" w:styleId="font41">
    <w:name w:val="font41"/>
    <w:basedOn w:val="a0"/>
    <w:qFormat/>
    <w:rPr>
      <w:rFonts w:ascii="仿宋_GB2312" w:eastAsia="仿宋_GB2312" w:cs="仿宋_GB2312" w:hint="eastAsia"/>
      <w:b/>
      <w:color w:val="000000"/>
      <w:sz w:val="20"/>
      <w:szCs w:val="20"/>
      <w:u w:val="none"/>
    </w:rPr>
  </w:style>
  <w:style w:type="character" w:customStyle="1" w:styleId="font31">
    <w:name w:val="font31"/>
    <w:basedOn w:val="a0"/>
    <w:qFormat/>
    <w:rPr>
      <w:rFonts w:ascii="仿宋_GB2312" w:eastAsia="仿宋_GB2312" w:cs="仿宋_GB2312" w:hint="eastAsia"/>
      <w:b/>
      <w:color w:val="000000"/>
      <w:sz w:val="20"/>
      <w:szCs w:val="20"/>
      <w:u w:val="none"/>
    </w:rPr>
  </w:style>
  <w:style w:type="character" w:customStyle="1" w:styleId="font51">
    <w:name w:val="font51"/>
    <w:basedOn w:val="a0"/>
    <w:qFormat/>
    <w:rPr>
      <w:rFonts w:ascii="仿宋_GB2312" w:eastAsia="仿宋_GB2312" w:cs="仿宋_GB2312" w:hint="eastAsia"/>
      <w:b/>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3741AB-F1DB-46FD-B30F-2A10C669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李然</cp:lastModifiedBy>
  <cp:revision>451</cp:revision>
  <dcterms:created xsi:type="dcterms:W3CDTF">2019-04-26T02:32:00Z</dcterms:created>
  <dcterms:modified xsi:type="dcterms:W3CDTF">2020-08-15T02:52:00Z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