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1F" w:rsidRDefault="005D451F">
      <w:pPr>
        <w:topLinePunct/>
        <w:spacing w:beforeLines="50" w:before="156" w:afterLines="50" w:after="156" w:line="360" w:lineRule="auto"/>
        <w:jc w:val="center"/>
        <w:rPr>
          <w:rFonts w:eastAsia="仿宋_GB2312"/>
          <w:b/>
          <w:sz w:val="48"/>
          <w:szCs w:val="48"/>
        </w:rPr>
      </w:pPr>
    </w:p>
    <w:p w:rsidR="005D451F" w:rsidRDefault="005D451F">
      <w:pPr>
        <w:topLinePunct/>
        <w:spacing w:beforeLines="50" w:before="156" w:afterLines="50" w:after="156" w:line="360" w:lineRule="auto"/>
        <w:jc w:val="center"/>
        <w:rPr>
          <w:rFonts w:eastAsia="仿宋_GB2312"/>
          <w:b/>
          <w:sz w:val="48"/>
          <w:szCs w:val="48"/>
        </w:rPr>
      </w:pPr>
    </w:p>
    <w:p w:rsidR="005D451F" w:rsidRDefault="00426BA4">
      <w:pPr>
        <w:topLinePunct/>
        <w:spacing w:beforeLines="50" w:before="156" w:afterLines="50" w:after="156" w:line="360" w:lineRule="auto"/>
        <w:jc w:val="center"/>
        <w:rPr>
          <w:rFonts w:eastAsia="方正小标宋简体"/>
          <w:b/>
          <w:sz w:val="48"/>
          <w:szCs w:val="48"/>
        </w:rPr>
      </w:pPr>
      <w:r>
        <w:rPr>
          <w:rFonts w:eastAsia="方正小标宋简体"/>
          <w:b/>
          <w:sz w:val="48"/>
          <w:szCs w:val="48"/>
        </w:rPr>
        <w:t>湖北省省级财政项目支出绩效自评报告</w:t>
      </w:r>
    </w:p>
    <w:p w:rsidR="005D451F" w:rsidRDefault="00426BA4">
      <w:pPr>
        <w:topLinePunct/>
        <w:spacing w:line="360" w:lineRule="auto"/>
        <w:jc w:val="center"/>
        <w:rPr>
          <w:rFonts w:eastAsia="方正小标宋简体"/>
          <w:b/>
          <w:sz w:val="44"/>
          <w:szCs w:val="44"/>
        </w:rPr>
      </w:pPr>
      <w:r>
        <w:rPr>
          <w:rFonts w:eastAsia="方正小标宋简体"/>
          <w:b/>
          <w:sz w:val="44"/>
          <w:szCs w:val="44"/>
        </w:rPr>
        <w:t>（</w:t>
      </w:r>
      <w:r>
        <w:rPr>
          <w:rFonts w:eastAsia="方正小标宋简体"/>
          <w:b/>
          <w:sz w:val="44"/>
          <w:szCs w:val="44"/>
        </w:rPr>
        <w:t>201</w:t>
      </w:r>
      <w:r>
        <w:rPr>
          <w:rFonts w:eastAsia="方正小标宋简体" w:hint="eastAsia"/>
          <w:b/>
          <w:sz w:val="44"/>
          <w:szCs w:val="44"/>
        </w:rPr>
        <w:t>9</w:t>
      </w:r>
      <w:r>
        <w:rPr>
          <w:rFonts w:eastAsia="方正小标宋简体"/>
          <w:b/>
          <w:sz w:val="44"/>
          <w:szCs w:val="44"/>
        </w:rPr>
        <w:t>年度）</w:t>
      </w:r>
    </w:p>
    <w:p w:rsidR="005D451F" w:rsidRDefault="005D451F">
      <w:pPr>
        <w:topLinePunct/>
        <w:spacing w:line="360" w:lineRule="auto"/>
        <w:jc w:val="center"/>
        <w:rPr>
          <w:b/>
          <w:sz w:val="44"/>
          <w:szCs w:val="44"/>
        </w:rPr>
      </w:pPr>
    </w:p>
    <w:p w:rsidR="005D451F" w:rsidRDefault="005D451F">
      <w:pPr>
        <w:topLinePunct/>
        <w:spacing w:line="360" w:lineRule="auto"/>
        <w:jc w:val="center"/>
        <w:rPr>
          <w:b/>
          <w:sz w:val="44"/>
          <w:szCs w:val="44"/>
        </w:rPr>
      </w:pPr>
    </w:p>
    <w:p w:rsidR="005D451F" w:rsidRDefault="005D451F">
      <w:pPr>
        <w:topLinePunct/>
        <w:spacing w:line="360" w:lineRule="auto"/>
        <w:jc w:val="center"/>
        <w:rPr>
          <w:b/>
          <w:sz w:val="44"/>
          <w:szCs w:val="44"/>
        </w:rPr>
      </w:pPr>
    </w:p>
    <w:p w:rsidR="005D451F" w:rsidRDefault="005D451F">
      <w:pPr>
        <w:topLinePunct/>
        <w:spacing w:line="360" w:lineRule="auto"/>
        <w:jc w:val="center"/>
        <w:rPr>
          <w:b/>
          <w:sz w:val="44"/>
          <w:szCs w:val="44"/>
        </w:rPr>
      </w:pPr>
    </w:p>
    <w:p w:rsidR="005D451F" w:rsidRDefault="005D451F">
      <w:pPr>
        <w:topLinePunct/>
        <w:spacing w:line="360" w:lineRule="auto"/>
        <w:jc w:val="center"/>
        <w:rPr>
          <w:b/>
          <w:sz w:val="44"/>
          <w:szCs w:val="44"/>
        </w:rPr>
      </w:pPr>
    </w:p>
    <w:p w:rsidR="005D451F" w:rsidRDefault="00426BA4">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项目名称：</w:t>
      </w:r>
      <w:r>
        <w:rPr>
          <w:rFonts w:eastAsia="仿宋_GB2312" w:hint="eastAsia"/>
          <w:b/>
          <w:bCs/>
          <w:kern w:val="0"/>
          <w:sz w:val="32"/>
          <w:szCs w:val="32"/>
        </w:rPr>
        <w:t>国家统一法律职业资格考试</w:t>
      </w:r>
    </w:p>
    <w:p w:rsidR="005D451F" w:rsidRDefault="00426BA4">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项目单位：</w:t>
      </w:r>
      <w:r>
        <w:rPr>
          <w:rFonts w:eastAsia="仿宋_GB2312" w:hint="eastAsia"/>
          <w:b/>
          <w:bCs/>
          <w:kern w:val="0"/>
          <w:sz w:val="32"/>
          <w:szCs w:val="32"/>
        </w:rPr>
        <w:t>湖北省司法厅</w:t>
      </w:r>
    </w:p>
    <w:p w:rsidR="005D451F" w:rsidRDefault="00426BA4">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主管</w:t>
      </w:r>
      <w:r>
        <w:rPr>
          <w:rFonts w:eastAsia="仿宋_GB2312" w:hint="eastAsia"/>
          <w:b/>
          <w:bCs/>
          <w:kern w:val="0"/>
          <w:sz w:val="32"/>
          <w:szCs w:val="32"/>
        </w:rPr>
        <w:t>部门</w:t>
      </w:r>
      <w:r>
        <w:rPr>
          <w:rFonts w:eastAsia="仿宋_GB2312"/>
          <w:b/>
          <w:bCs/>
          <w:kern w:val="0"/>
          <w:sz w:val="32"/>
          <w:szCs w:val="32"/>
        </w:rPr>
        <w:t>：</w:t>
      </w:r>
      <w:r>
        <w:rPr>
          <w:rFonts w:eastAsia="仿宋_GB2312" w:hint="eastAsia"/>
          <w:b/>
          <w:bCs/>
          <w:kern w:val="0"/>
          <w:sz w:val="32"/>
          <w:szCs w:val="32"/>
        </w:rPr>
        <w:t>湖北省司法厅</w:t>
      </w:r>
    </w:p>
    <w:p w:rsidR="005D451F" w:rsidRDefault="00426BA4">
      <w:pPr>
        <w:topLinePunct/>
        <w:spacing w:beforeLines="100" w:before="312" w:afterLines="100" w:after="312" w:line="360" w:lineRule="auto"/>
        <w:ind w:firstLineChars="200" w:firstLine="643"/>
        <w:rPr>
          <w:rFonts w:eastAsia="仿宋_GB2312"/>
          <w:b/>
          <w:bCs/>
          <w:kern w:val="0"/>
          <w:sz w:val="32"/>
          <w:szCs w:val="32"/>
        </w:rPr>
      </w:pPr>
      <w:r>
        <w:rPr>
          <w:rFonts w:eastAsia="仿宋_GB2312"/>
          <w:b/>
          <w:bCs/>
          <w:kern w:val="0"/>
          <w:sz w:val="32"/>
          <w:szCs w:val="32"/>
        </w:rPr>
        <w:t>评价机构：</w:t>
      </w:r>
      <w:r>
        <w:rPr>
          <w:rFonts w:eastAsia="仿宋_GB2312" w:hint="eastAsia"/>
          <w:b/>
          <w:sz w:val="32"/>
          <w:szCs w:val="32"/>
        </w:rPr>
        <w:t>湖北省司法厅</w:t>
      </w:r>
      <w:r>
        <w:rPr>
          <w:rFonts w:eastAsia="仿宋_GB2312"/>
          <w:b/>
          <w:sz w:val="32"/>
          <w:szCs w:val="32"/>
        </w:rPr>
        <w:t>绩效自评</w:t>
      </w:r>
      <w:r>
        <w:rPr>
          <w:rFonts w:eastAsia="仿宋_GB2312" w:hint="eastAsia"/>
          <w:b/>
          <w:sz w:val="32"/>
          <w:szCs w:val="32"/>
        </w:rPr>
        <w:t>工作</w:t>
      </w:r>
      <w:r>
        <w:rPr>
          <w:rFonts w:eastAsia="仿宋_GB2312"/>
          <w:b/>
          <w:sz w:val="32"/>
          <w:szCs w:val="32"/>
        </w:rPr>
        <w:t>小组</w:t>
      </w:r>
    </w:p>
    <w:p w:rsidR="005D451F" w:rsidRDefault="005D451F">
      <w:pPr>
        <w:topLinePunct/>
        <w:snapToGrid w:val="0"/>
        <w:spacing w:line="360" w:lineRule="auto"/>
        <w:jc w:val="center"/>
        <w:rPr>
          <w:rFonts w:eastAsia="仿宋_GB2312"/>
          <w:b/>
          <w:bCs/>
          <w:kern w:val="0"/>
          <w:sz w:val="32"/>
          <w:szCs w:val="32"/>
        </w:rPr>
      </w:pPr>
    </w:p>
    <w:p w:rsidR="005D451F" w:rsidRDefault="005D451F">
      <w:pPr>
        <w:topLinePunct/>
        <w:snapToGrid w:val="0"/>
        <w:spacing w:line="360" w:lineRule="auto"/>
        <w:jc w:val="center"/>
        <w:rPr>
          <w:rFonts w:eastAsia="仿宋_GB2312"/>
          <w:b/>
          <w:bCs/>
          <w:kern w:val="0"/>
          <w:sz w:val="32"/>
          <w:szCs w:val="32"/>
        </w:rPr>
      </w:pPr>
    </w:p>
    <w:p w:rsidR="005D451F" w:rsidRDefault="00426BA4">
      <w:pPr>
        <w:spacing w:beforeLines="50" w:before="156" w:afterLines="50" w:after="156" w:line="560" w:lineRule="exact"/>
        <w:jc w:val="center"/>
        <w:rPr>
          <w:rFonts w:eastAsia="仿宋_GB2312"/>
          <w:b/>
          <w:sz w:val="32"/>
          <w:szCs w:val="32"/>
        </w:rPr>
      </w:pPr>
      <w:r>
        <w:rPr>
          <w:rFonts w:eastAsia="仿宋_GB2312"/>
          <w:b/>
          <w:sz w:val="32"/>
          <w:szCs w:val="32"/>
        </w:rPr>
        <w:t>20</w:t>
      </w:r>
      <w:r>
        <w:rPr>
          <w:rFonts w:eastAsia="仿宋_GB2312" w:hint="eastAsia"/>
          <w:b/>
          <w:sz w:val="32"/>
          <w:szCs w:val="32"/>
        </w:rPr>
        <w:t>20</w:t>
      </w:r>
      <w:r>
        <w:rPr>
          <w:rFonts w:eastAsia="仿宋_GB2312"/>
          <w:b/>
          <w:sz w:val="32"/>
          <w:szCs w:val="32"/>
        </w:rPr>
        <w:t>年</w:t>
      </w:r>
      <w:r>
        <w:rPr>
          <w:rFonts w:eastAsia="仿宋_GB2312" w:hint="eastAsia"/>
          <w:b/>
          <w:sz w:val="32"/>
          <w:szCs w:val="32"/>
        </w:rPr>
        <w:t>6</w:t>
      </w:r>
      <w:r>
        <w:rPr>
          <w:rFonts w:eastAsia="仿宋_GB2312"/>
          <w:b/>
          <w:sz w:val="32"/>
          <w:szCs w:val="32"/>
        </w:rPr>
        <w:t>月</w:t>
      </w:r>
    </w:p>
    <w:p w:rsidR="005D451F" w:rsidRDefault="005D451F">
      <w:pPr>
        <w:pStyle w:val="BodyTextFirstIndent21"/>
        <w:ind w:firstLine="420"/>
      </w:pPr>
    </w:p>
    <w:p w:rsidR="005D451F" w:rsidRDefault="005D451F">
      <w:pPr>
        <w:spacing w:beforeLines="50" w:before="156" w:afterLines="50" w:after="156" w:line="560" w:lineRule="exact"/>
        <w:jc w:val="center"/>
        <w:rPr>
          <w:rFonts w:eastAsia="仿宋_GB2312"/>
          <w:b/>
          <w:sz w:val="32"/>
        </w:rPr>
      </w:pPr>
    </w:p>
    <w:p w:rsidR="005D451F" w:rsidRDefault="005D451F">
      <w:pPr>
        <w:spacing w:beforeLines="50" w:before="156" w:afterLines="50" w:after="156" w:line="360" w:lineRule="auto"/>
        <w:jc w:val="center"/>
        <w:rPr>
          <w:rFonts w:asciiTheme="minorEastAsia" w:eastAsiaTheme="minorEastAsia" w:hAnsiTheme="minorEastAsia" w:cstheme="majorEastAsia"/>
          <w:b/>
          <w:sz w:val="36"/>
          <w:szCs w:val="36"/>
        </w:rPr>
        <w:sectPr w:rsidR="005D451F">
          <w:pgSz w:w="11906" w:h="16838"/>
          <w:pgMar w:top="1440" w:right="1800" w:bottom="1440" w:left="1800" w:header="851" w:footer="992" w:gutter="0"/>
          <w:pgNumType w:fmt="numberInDash" w:start="1"/>
          <w:cols w:space="425"/>
          <w:docGrid w:type="lines" w:linePitch="312"/>
        </w:sectPr>
      </w:pPr>
    </w:p>
    <w:p w:rsidR="005D451F" w:rsidRDefault="005D451F">
      <w:pPr>
        <w:spacing w:beforeLines="50" w:before="156" w:afterLines="50" w:after="156" w:line="360" w:lineRule="auto"/>
        <w:jc w:val="center"/>
        <w:rPr>
          <w:rFonts w:ascii="黑体" w:eastAsia="黑体" w:hAnsi="黑体" w:cs="黑体"/>
          <w:b/>
          <w:sz w:val="44"/>
          <w:szCs w:val="44"/>
        </w:rPr>
      </w:pPr>
    </w:p>
    <w:p w:rsidR="005D451F" w:rsidRDefault="00426BA4">
      <w:pPr>
        <w:spacing w:beforeLines="50" w:before="156" w:afterLines="50" w:after="156" w:line="560" w:lineRule="exact"/>
        <w:jc w:val="center"/>
        <w:rPr>
          <w:rFonts w:ascii="黑体" w:eastAsia="黑体" w:hAnsi="黑体" w:cs="黑体"/>
          <w:b/>
          <w:sz w:val="44"/>
          <w:szCs w:val="44"/>
        </w:rPr>
      </w:pPr>
      <w:r>
        <w:rPr>
          <w:rFonts w:ascii="黑体" w:eastAsia="黑体" w:hAnsi="黑体" w:cs="黑体" w:hint="eastAsia"/>
          <w:b/>
          <w:sz w:val="44"/>
          <w:szCs w:val="44"/>
        </w:rPr>
        <w:t>2019</w:t>
      </w:r>
      <w:r>
        <w:rPr>
          <w:rFonts w:ascii="黑体" w:eastAsia="黑体" w:hAnsi="黑体" w:cs="黑体" w:hint="eastAsia"/>
          <w:b/>
          <w:sz w:val="44"/>
          <w:szCs w:val="44"/>
        </w:rPr>
        <w:t>年度国家统一法律职业资格考试</w:t>
      </w:r>
    </w:p>
    <w:p w:rsidR="005D451F" w:rsidRDefault="00426BA4">
      <w:pPr>
        <w:spacing w:beforeLines="50" w:before="156" w:afterLines="50" w:after="156" w:line="560" w:lineRule="exact"/>
        <w:jc w:val="center"/>
      </w:pPr>
      <w:r>
        <w:rPr>
          <w:rFonts w:ascii="黑体" w:eastAsia="黑体" w:hAnsi="黑体" w:cs="黑体" w:hint="eastAsia"/>
          <w:b/>
          <w:sz w:val="44"/>
          <w:szCs w:val="44"/>
        </w:rPr>
        <w:t>项目支出绩效自评报告</w:t>
      </w:r>
    </w:p>
    <w:p w:rsidR="005D451F" w:rsidRDefault="005D451F">
      <w:pPr>
        <w:pStyle w:val="BodyTextFirstIndent21"/>
        <w:spacing w:line="560" w:lineRule="exact"/>
        <w:ind w:firstLine="420"/>
      </w:pPr>
    </w:p>
    <w:p w:rsidR="005D451F" w:rsidRDefault="00426BA4">
      <w:pPr>
        <w:spacing w:line="560" w:lineRule="exact"/>
        <w:ind w:firstLineChars="200" w:firstLine="643"/>
        <w:rPr>
          <w:rFonts w:ascii="黑体" w:eastAsia="黑体" w:hAnsi="黑体"/>
          <w:b/>
          <w:sz w:val="32"/>
          <w:szCs w:val="32"/>
        </w:rPr>
      </w:pPr>
      <w:r>
        <w:rPr>
          <w:rFonts w:ascii="黑体" w:eastAsia="黑体" w:hAnsi="黑体" w:hint="eastAsia"/>
          <w:b/>
          <w:sz w:val="32"/>
          <w:szCs w:val="32"/>
        </w:rPr>
        <w:t>一、基本情况</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（一）项目立项情况</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为了贯彻落实党的“全面推进依法治国”方略</w:t>
      </w:r>
      <w:r>
        <w:rPr>
          <w:rFonts w:ascii="仿宋" w:eastAsia="仿宋" w:hAnsi="仿宋" w:cs="仿宋" w:hint="eastAsia"/>
          <w:sz w:val="32"/>
          <w:szCs w:val="32"/>
          <w:shd w:val="clear" w:color="auto" w:fill="FFFFFF"/>
        </w:rPr>
        <w:t>，</w:t>
      </w:r>
      <w:r>
        <w:rPr>
          <w:rFonts w:ascii="仿宋" w:eastAsia="仿宋" w:hAnsi="仿宋" w:cs="仿宋" w:hint="eastAsia"/>
          <w:sz w:val="32"/>
          <w:szCs w:val="32"/>
        </w:rPr>
        <w:t>促进法治工作队伍正规化、专业化、职业化建设，保障国家统一法律职业资格考试工作正常开展，根据《中华人民共和国法官法》《中华人民共和国检察官法》《中华人民共和国律师法》《国家司法考试实施办法（试行）》等法律法规规定，按照《湖北省司法厅主要职责内设机构和人员编制规定》明确的职能，省司法厅设立国家统一法律职业资格考试项目（以下简称项目）。</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项目预算主要内容和职责：全省法律职业资格考试考务培训部署，法律职业资格考试督考、监考工作，法律职业资格考试试卷运送、系统维护。法律职业资</w:t>
      </w:r>
      <w:r>
        <w:rPr>
          <w:rFonts w:ascii="仿宋" w:eastAsia="仿宋" w:hAnsi="仿宋" w:cs="仿宋" w:hint="eastAsia"/>
          <w:sz w:val="32"/>
          <w:szCs w:val="32"/>
        </w:rPr>
        <w:t>格证书的审核、发放等。</w:t>
      </w:r>
    </w:p>
    <w:p w:rsidR="005D451F" w:rsidRDefault="00426BA4">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（二）年度绩效目标</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年度目标一：精准把握条件要求，热情做好考生服务，组织好国家统一法律职业资格考试报名工作。</w:t>
      </w:r>
    </w:p>
    <w:p w:rsidR="005D451F" w:rsidRDefault="00426BA4">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年度目标二：精心组织好国家统一法律职业资格考试，确保无重大事件发生。</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年度目标三：认真做好申请授予法律职业资格证书审核，资格证书归档和档案调转工作。</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（三）项目资金情况</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本项目为持续性、常年性项目，经费来源为省财政拨款。</w:t>
      </w:r>
      <w:r>
        <w:rPr>
          <w:rFonts w:ascii="仿宋" w:eastAsia="仿宋" w:hAnsi="仿宋" w:cs="仿宋" w:hint="eastAsia"/>
          <w:sz w:val="32"/>
          <w:szCs w:val="32"/>
        </w:rPr>
        <w:t>2019</w:t>
      </w:r>
      <w:r>
        <w:rPr>
          <w:rFonts w:ascii="仿宋" w:eastAsia="仿宋" w:hAnsi="仿宋" w:cs="仿宋" w:hint="eastAsia"/>
          <w:sz w:val="32"/>
          <w:szCs w:val="32"/>
        </w:rPr>
        <w:t>年度项目预算</w:t>
      </w:r>
      <w:r>
        <w:rPr>
          <w:rFonts w:ascii="仿宋" w:eastAsia="仿宋" w:hAnsi="仿宋" w:cs="仿宋" w:hint="eastAsia"/>
          <w:sz w:val="32"/>
          <w:szCs w:val="32"/>
        </w:rPr>
        <w:t>60.00</w:t>
      </w:r>
      <w:r>
        <w:rPr>
          <w:rFonts w:ascii="仿宋" w:eastAsia="仿宋" w:hAnsi="仿宋" w:cs="仿宋" w:hint="eastAsia"/>
          <w:sz w:val="32"/>
          <w:szCs w:val="32"/>
        </w:rPr>
        <w:t>万元，实际执行</w:t>
      </w:r>
      <w:r>
        <w:rPr>
          <w:rFonts w:ascii="仿宋" w:eastAsia="仿宋" w:hAnsi="仿宋" w:cs="仿宋" w:hint="eastAsia"/>
          <w:sz w:val="32"/>
          <w:szCs w:val="32"/>
        </w:rPr>
        <w:t>60.00</w:t>
      </w:r>
      <w:r>
        <w:rPr>
          <w:rFonts w:ascii="仿宋" w:eastAsia="仿宋" w:hAnsi="仿宋" w:cs="仿宋" w:hint="eastAsia"/>
          <w:sz w:val="32"/>
          <w:szCs w:val="32"/>
        </w:rPr>
        <w:t>万元，预算执行率为</w:t>
      </w:r>
      <w:r>
        <w:rPr>
          <w:rFonts w:ascii="仿宋" w:eastAsia="仿宋" w:hAnsi="仿宋" w:cs="仿宋" w:hint="eastAsia"/>
          <w:kern w:val="0"/>
          <w:sz w:val="32"/>
          <w:szCs w:val="32"/>
        </w:rPr>
        <w:t>100</w:t>
      </w:r>
      <w:r>
        <w:rPr>
          <w:rFonts w:ascii="仿宋" w:eastAsia="仿宋" w:hAnsi="仿宋" w:cs="仿宋" w:hint="eastAsia"/>
          <w:sz w:val="32"/>
          <w:szCs w:val="32"/>
        </w:rPr>
        <w:t>%</w:t>
      </w:r>
      <w:r>
        <w:rPr>
          <w:rFonts w:ascii="仿宋" w:eastAsia="仿宋" w:hAnsi="仿宋" w:cs="仿宋" w:hint="eastAsia"/>
          <w:sz w:val="32"/>
          <w:szCs w:val="32"/>
        </w:rPr>
        <w:t>。</w:t>
      </w:r>
    </w:p>
    <w:p w:rsidR="005D451F" w:rsidRDefault="00426BA4">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二、绩效自评工作开展情况</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根据《省财政厅关于编制</w:t>
      </w:r>
      <w:r>
        <w:rPr>
          <w:rFonts w:ascii="仿宋" w:eastAsia="仿宋" w:hAnsi="仿宋" w:cs="仿宋" w:hint="eastAsia"/>
          <w:sz w:val="32"/>
          <w:szCs w:val="32"/>
        </w:rPr>
        <w:t>2019</w:t>
      </w:r>
      <w:r>
        <w:rPr>
          <w:rFonts w:ascii="仿宋" w:eastAsia="仿宋" w:hAnsi="仿宋" w:cs="仿宋" w:hint="eastAsia"/>
          <w:sz w:val="32"/>
          <w:szCs w:val="32"/>
        </w:rPr>
        <w:t>年度省直部门决算的通知》（财库［</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291</w:t>
      </w:r>
      <w:r>
        <w:rPr>
          <w:rFonts w:ascii="仿宋" w:eastAsia="仿宋" w:hAnsi="仿宋" w:cs="仿宋" w:hint="eastAsia"/>
          <w:sz w:val="32"/>
          <w:szCs w:val="32"/>
        </w:rPr>
        <w:t>号）关于做好</w:t>
      </w:r>
      <w:r>
        <w:rPr>
          <w:rFonts w:ascii="仿宋" w:eastAsia="仿宋" w:hAnsi="仿宋" w:cs="仿宋" w:hint="eastAsia"/>
          <w:sz w:val="32"/>
          <w:szCs w:val="32"/>
        </w:rPr>
        <w:t>2019</w:t>
      </w:r>
      <w:r>
        <w:rPr>
          <w:rFonts w:ascii="仿宋" w:eastAsia="仿宋" w:hAnsi="仿宋" w:cs="仿宋" w:hint="eastAsia"/>
          <w:sz w:val="32"/>
          <w:szCs w:val="32"/>
        </w:rPr>
        <w:t>年度财政支出绩效评价工作的要求，省司法厅加强组织领导和统筹协调，成立了由装备财务保障处牵头，相关业务部门参与的绩效自评工作小组（以下简称自评小组），制定了绩效自评方案，明确了绩效自评的原则、程序、方法和具体的实施步骤：</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月底以前，学习有关绩效自评等文件精神，加强与项目执行部门和人员的沟通协调，制定工作计划，按照职责分工分解工作任务。召开自评工作布置会，明确绩效自评工作的重点和要求。</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月上旬，项目执行</w:t>
      </w:r>
      <w:r>
        <w:rPr>
          <w:rFonts w:ascii="仿宋" w:eastAsia="仿宋" w:hAnsi="仿宋" w:cs="仿宋" w:hint="eastAsia"/>
          <w:sz w:val="32"/>
          <w:szCs w:val="32"/>
        </w:rPr>
        <w:t>部门根据经人大批复的项目绩效目标，填写绩效自评表，收集、整理相关材料，并上报自评小组。</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月中旬，自评小组进行现场评价，与财务和相关业务人员座谈，了解项目资金使用管理情况、目标完成情况以及实施效果，核对项目明细账及原始凭证，查阅项目业务管理资料，复核相关基础数据。</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4</w:t>
      </w: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月中旬以前，自评小组汇总整理评价资料，结合现场检查的情况进行综合分析评价，提出意见或建议，撰写项目绩效自评报告，经预算绩效管理工作领导小组审核后上报。</w:t>
      </w:r>
    </w:p>
    <w:p w:rsidR="005D451F" w:rsidRDefault="00426BA4">
      <w:pPr>
        <w:spacing w:line="560" w:lineRule="exact"/>
        <w:ind w:firstLineChars="200" w:firstLine="643"/>
        <w:rPr>
          <w:rFonts w:ascii="仿宋" w:eastAsia="仿宋" w:hAnsi="仿宋" w:cs="仿宋"/>
          <w:b/>
          <w:sz w:val="32"/>
          <w:szCs w:val="32"/>
        </w:rPr>
      </w:pPr>
      <w:r>
        <w:rPr>
          <w:rFonts w:ascii="黑体" w:eastAsia="黑体" w:hAnsi="黑体" w:cs="黑体" w:hint="eastAsia"/>
          <w:b/>
          <w:sz w:val="32"/>
          <w:szCs w:val="32"/>
        </w:rPr>
        <w:t>三、绩效目标完成情况分析</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省司法厅精心严密的组织实施了</w:t>
      </w:r>
      <w:r>
        <w:rPr>
          <w:rFonts w:ascii="仿宋" w:eastAsia="仿宋" w:hAnsi="仿宋" w:cs="仿宋" w:hint="eastAsia"/>
          <w:sz w:val="32"/>
          <w:szCs w:val="32"/>
        </w:rPr>
        <w:t>2019</w:t>
      </w:r>
      <w:r>
        <w:rPr>
          <w:rFonts w:ascii="仿宋" w:eastAsia="仿宋" w:hAnsi="仿宋" w:cs="仿宋" w:hint="eastAsia"/>
          <w:sz w:val="32"/>
          <w:szCs w:val="32"/>
        </w:rPr>
        <w:t>年国家司法考试工作，取得了无重大违纪事件发生，考生对考试组织零投诉的好成绩。总体来看，</w:t>
      </w:r>
      <w:bookmarkStart w:id="0" w:name="_Hlk10025916"/>
      <w:r>
        <w:rPr>
          <w:rFonts w:ascii="仿宋" w:eastAsia="仿宋" w:hAnsi="仿宋" w:cs="仿宋" w:hint="eastAsia"/>
          <w:sz w:val="32"/>
          <w:szCs w:val="32"/>
        </w:rPr>
        <w:t>省司法厅较好地完成了</w:t>
      </w:r>
      <w:r>
        <w:rPr>
          <w:rFonts w:ascii="仿宋" w:eastAsia="仿宋" w:hAnsi="仿宋" w:cs="仿宋" w:hint="eastAsia"/>
          <w:sz w:val="32"/>
          <w:szCs w:val="32"/>
        </w:rPr>
        <w:t>2019</w:t>
      </w:r>
      <w:r>
        <w:rPr>
          <w:rFonts w:ascii="仿宋" w:eastAsia="仿宋" w:hAnsi="仿宋" w:cs="仿宋" w:hint="eastAsia"/>
          <w:sz w:val="32"/>
          <w:szCs w:val="32"/>
        </w:rPr>
        <w:t>年度项目绩效目标</w:t>
      </w:r>
      <w:bookmarkEnd w:id="0"/>
      <w:r>
        <w:rPr>
          <w:rFonts w:ascii="仿宋" w:eastAsia="仿宋" w:hAnsi="仿宋" w:cs="仿宋" w:hint="eastAsia"/>
          <w:sz w:val="32"/>
          <w:szCs w:val="32"/>
        </w:rPr>
        <w:t>，项目绩效自评得分为</w:t>
      </w:r>
      <w:r>
        <w:rPr>
          <w:rFonts w:ascii="仿宋" w:eastAsia="仿宋" w:hAnsi="仿宋" w:cs="仿宋" w:hint="eastAsia"/>
          <w:sz w:val="32"/>
          <w:szCs w:val="32"/>
        </w:rPr>
        <w:t>100</w:t>
      </w:r>
      <w:r>
        <w:rPr>
          <w:rFonts w:ascii="仿宋" w:eastAsia="仿宋" w:hAnsi="仿宋" w:cs="仿宋" w:hint="eastAsia"/>
          <w:sz w:val="32"/>
          <w:szCs w:val="32"/>
        </w:rPr>
        <w:t>分，自评等级为“优”。</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（一）资金投入情况分析</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、项目资金到位情况分析</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年，项目预算</w:t>
      </w:r>
      <w:r>
        <w:rPr>
          <w:rFonts w:ascii="仿宋" w:eastAsia="仿宋" w:hAnsi="仿宋" w:cs="仿宋" w:hint="eastAsia"/>
          <w:sz w:val="32"/>
          <w:szCs w:val="32"/>
        </w:rPr>
        <w:t>60.00</w:t>
      </w:r>
      <w:r>
        <w:rPr>
          <w:rFonts w:ascii="仿宋" w:eastAsia="仿宋" w:hAnsi="仿宋" w:cs="仿宋" w:hint="eastAsia"/>
          <w:sz w:val="32"/>
          <w:szCs w:val="32"/>
        </w:rPr>
        <w:t>万元，当年实际到位资金</w:t>
      </w:r>
      <w:r>
        <w:rPr>
          <w:rFonts w:ascii="仿宋" w:eastAsia="仿宋" w:hAnsi="仿宋" w:cs="仿宋" w:hint="eastAsia"/>
          <w:sz w:val="32"/>
          <w:szCs w:val="32"/>
        </w:rPr>
        <w:t>60.00</w:t>
      </w:r>
      <w:r>
        <w:rPr>
          <w:rFonts w:ascii="仿宋" w:eastAsia="仿宋" w:hAnsi="仿宋" w:cs="仿宋" w:hint="eastAsia"/>
          <w:sz w:val="32"/>
          <w:szCs w:val="32"/>
        </w:rPr>
        <w:t>万元，资金来源为公共预算财政拨款，资金到位率</w:t>
      </w:r>
      <w:r>
        <w:rPr>
          <w:rFonts w:ascii="仿宋" w:eastAsia="仿宋" w:hAnsi="仿宋" w:cs="仿宋" w:hint="eastAsia"/>
          <w:sz w:val="32"/>
          <w:szCs w:val="32"/>
        </w:rPr>
        <w:t>100%</w:t>
      </w:r>
      <w:r>
        <w:rPr>
          <w:rFonts w:ascii="仿宋" w:eastAsia="仿宋" w:hAnsi="仿宋" w:cs="仿宋" w:hint="eastAsia"/>
          <w:sz w:val="32"/>
          <w:szCs w:val="32"/>
        </w:rPr>
        <w:t>。</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、项目预算执行情况分析</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100%</w:t>
      </w:r>
      <w:r>
        <w:rPr>
          <w:rFonts w:ascii="仿宋" w:eastAsia="仿宋" w:hAnsi="仿宋" w:cs="仿宋" w:hint="eastAsia"/>
          <w:sz w:val="32"/>
          <w:szCs w:val="32"/>
        </w:rPr>
        <w:t>，设定分值</w:t>
      </w:r>
      <w:r>
        <w:rPr>
          <w:rFonts w:ascii="仿宋" w:eastAsia="仿宋" w:hAnsi="仿宋" w:cs="仿宋" w:hint="eastAsia"/>
          <w:sz w:val="32"/>
          <w:szCs w:val="32"/>
        </w:rPr>
        <w:t>20</w:t>
      </w:r>
      <w:r>
        <w:rPr>
          <w:rFonts w:ascii="仿宋" w:eastAsia="仿宋" w:hAnsi="仿宋" w:cs="仿宋" w:hint="eastAsia"/>
          <w:sz w:val="32"/>
          <w:szCs w:val="32"/>
        </w:rPr>
        <w:t>分。</w:t>
      </w:r>
      <w:r>
        <w:rPr>
          <w:rFonts w:ascii="仿宋" w:eastAsia="仿宋" w:hAnsi="仿宋" w:cs="仿宋" w:hint="eastAsia"/>
          <w:sz w:val="32"/>
          <w:szCs w:val="32"/>
        </w:rPr>
        <w:t>2019</w:t>
      </w:r>
      <w:r>
        <w:rPr>
          <w:rFonts w:ascii="仿宋" w:eastAsia="仿宋" w:hAnsi="仿宋" w:cs="仿宋" w:hint="eastAsia"/>
          <w:sz w:val="32"/>
          <w:szCs w:val="32"/>
        </w:rPr>
        <w:t>年度项目预算</w:t>
      </w:r>
      <w:r>
        <w:rPr>
          <w:rFonts w:ascii="仿宋" w:eastAsia="仿宋" w:hAnsi="仿宋" w:cs="仿宋" w:hint="eastAsia"/>
          <w:sz w:val="32"/>
          <w:szCs w:val="32"/>
        </w:rPr>
        <w:t>60.00</w:t>
      </w:r>
      <w:r>
        <w:rPr>
          <w:rFonts w:ascii="仿宋" w:eastAsia="仿宋" w:hAnsi="仿宋" w:cs="仿宋" w:hint="eastAsia"/>
          <w:sz w:val="32"/>
          <w:szCs w:val="32"/>
        </w:rPr>
        <w:t>万元，实际执行</w:t>
      </w:r>
      <w:r>
        <w:rPr>
          <w:rFonts w:ascii="仿宋" w:eastAsia="仿宋" w:hAnsi="仿宋" w:cs="仿宋" w:hint="eastAsia"/>
          <w:sz w:val="32"/>
          <w:szCs w:val="32"/>
        </w:rPr>
        <w:t>60.00</w:t>
      </w:r>
      <w:r>
        <w:rPr>
          <w:rFonts w:ascii="仿宋" w:eastAsia="仿宋" w:hAnsi="仿宋" w:cs="仿宋" w:hint="eastAsia"/>
          <w:sz w:val="32"/>
          <w:szCs w:val="32"/>
        </w:rPr>
        <w:t>万元，预算</w:t>
      </w:r>
      <w:r>
        <w:rPr>
          <w:rFonts w:ascii="仿宋" w:eastAsia="仿宋" w:hAnsi="仿宋" w:cs="仿宋" w:hint="eastAsia"/>
          <w:sz w:val="32"/>
          <w:szCs w:val="32"/>
        </w:rPr>
        <w:t>执行率为</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20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。预算执行总体较好，具体情况如下表所示：</w:t>
      </w:r>
    </w:p>
    <w:tbl>
      <w:tblPr>
        <w:tblW w:w="7849" w:type="dxa"/>
        <w:tblInd w:w="567" w:type="dxa"/>
        <w:tblCellMar>
          <w:left w:w="0" w:type="dxa"/>
          <w:right w:w="0" w:type="dxa"/>
        </w:tblCellMar>
        <w:tblLook w:val="04A0" w:firstRow="1" w:lastRow="0" w:firstColumn="1" w:lastColumn="0" w:noHBand="0" w:noVBand="1"/>
      </w:tblPr>
      <w:tblGrid>
        <w:gridCol w:w="2088"/>
        <w:gridCol w:w="1564"/>
        <w:gridCol w:w="1316"/>
        <w:gridCol w:w="1440"/>
        <w:gridCol w:w="1441"/>
      </w:tblGrid>
      <w:tr w:rsidR="005D451F">
        <w:trPr>
          <w:trHeight w:val="312"/>
        </w:trPr>
        <w:tc>
          <w:tcPr>
            <w:tcW w:w="7849" w:type="dxa"/>
            <w:gridSpan w:val="5"/>
            <w:tcBorders>
              <w:top w:val="nil"/>
              <w:left w:val="nil"/>
              <w:bottom w:val="nil"/>
              <w:right w:val="nil"/>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8"/>
                <w:szCs w:val="28"/>
              </w:rPr>
              <w:t>项目支出明细表</w:t>
            </w:r>
          </w:p>
        </w:tc>
      </w:tr>
      <w:tr w:rsidR="005D451F">
        <w:trPr>
          <w:trHeight w:val="303"/>
        </w:trPr>
        <w:tc>
          <w:tcPr>
            <w:tcW w:w="0" w:type="auto"/>
            <w:tcBorders>
              <w:top w:val="nil"/>
              <w:left w:val="nil"/>
              <w:bottom w:val="nil"/>
              <w:right w:val="nil"/>
            </w:tcBorders>
            <w:shd w:val="clear" w:color="auto" w:fill="auto"/>
            <w:noWrap/>
            <w:tcMar>
              <w:top w:w="12" w:type="dxa"/>
              <w:left w:w="12" w:type="dxa"/>
              <w:right w:w="12" w:type="dxa"/>
            </w:tcMar>
            <w:vAlign w:val="center"/>
          </w:tcPr>
          <w:p w:rsidR="005D451F" w:rsidRDefault="00426BA4">
            <w:pPr>
              <w:widowControl/>
              <w:jc w:val="left"/>
              <w:textAlignment w:val="center"/>
              <w:rPr>
                <w:rFonts w:ascii="仿宋" w:eastAsia="仿宋" w:hAnsi="仿宋" w:cs="仿宋"/>
                <w:color w:val="000000"/>
                <w:sz w:val="20"/>
                <w:szCs w:val="20"/>
              </w:rPr>
            </w:pPr>
            <w:r>
              <w:rPr>
                <w:rFonts w:ascii="仿宋" w:eastAsia="仿宋" w:hAnsi="仿宋" w:cs="仿宋" w:hint="eastAsia"/>
                <w:b/>
                <w:color w:val="000000"/>
                <w:kern w:val="0"/>
                <w:sz w:val="20"/>
                <w:szCs w:val="20"/>
              </w:rPr>
              <w:t>单位：</w:t>
            </w:r>
            <w:r>
              <w:rPr>
                <w:rStyle w:val="font61"/>
                <w:rFonts w:ascii="仿宋" w:eastAsia="仿宋" w:hAnsi="仿宋" w:cs="仿宋" w:hint="default"/>
                <w:b/>
                <w:bCs/>
              </w:rPr>
              <w:t>万元</w:t>
            </w:r>
          </w:p>
        </w:tc>
        <w:tc>
          <w:tcPr>
            <w:tcW w:w="1564" w:type="dxa"/>
            <w:tcBorders>
              <w:top w:val="nil"/>
              <w:left w:val="nil"/>
              <w:bottom w:val="nil"/>
              <w:right w:val="nil"/>
            </w:tcBorders>
            <w:shd w:val="clear" w:color="auto" w:fill="auto"/>
            <w:noWrap/>
            <w:tcMar>
              <w:top w:w="12" w:type="dxa"/>
              <w:left w:w="12" w:type="dxa"/>
              <w:right w:w="12" w:type="dxa"/>
            </w:tcMar>
            <w:vAlign w:val="center"/>
          </w:tcPr>
          <w:p w:rsidR="005D451F" w:rsidRDefault="005D451F">
            <w:pPr>
              <w:rPr>
                <w:rFonts w:ascii="仿宋" w:eastAsia="仿宋" w:hAnsi="仿宋" w:cs="仿宋"/>
                <w:color w:val="000000"/>
                <w:sz w:val="20"/>
                <w:szCs w:val="20"/>
              </w:rPr>
            </w:pPr>
          </w:p>
        </w:tc>
        <w:tc>
          <w:tcPr>
            <w:tcW w:w="1316" w:type="dxa"/>
            <w:tcBorders>
              <w:top w:val="nil"/>
              <w:left w:val="nil"/>
              <w:bottom w:val="nil"/>
              <w:right w:val="nil"/>
            </w:tcBorders>
            <w:shd w:val="clear" w:color="auto" w:fill="auto"/>
            <w:noWrap/>
            <w:tcMar>
              <w:top w:w="12" w:type="dxa"/>
              <w:left w:w="12" w:type="dxa"/>
              <w:right w:w="12" w:type="dxa"/>
            </w:tcMar>
            <w:vAlign w:val="center"/>
          </w:tcPr>
          <w:p w:rsidR="005D451F" w:rsidRDefault="005D451F">
            <w:pPr>
              <w:rPr>
                <w:rFonts w:ascii="仿宋" w:eastAsia="仿宋" w:hAnsi="仿宋" w:cs="仿宋"/>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center"/>
          </w:tcPr>
          <w:p w:rsidR="005D451F" w:rsidRDefault="005D451F">
            <w:pPr>
              <w:rPr>
                <w:rFonts w:ascii="仿宋" w:eastAsia="仿宋" w:hAnsi="仿宋" w:cs="仿宋"/>
                <w:color w:val="000000"/>
                <w:sz w:val="20"/>
                <w:szCs w:val="20"/>
              </w:rPr>
            </w:pPr>
          </w:p>
        </w:tc>
        <w:tc>
          <w:tcPr>
            <w:tcW w:w="0" w:type="auto"/>
            <w:tcBorders>
              <w:top w:val="nil"/>
              <w:left w:val="nil"/>
              <w:bottom w:val="nil"/>
              <w:right w:val="nil"/>
            </w:tcBorders>
            <w:shd w:val="clear" w:color="auto" w:fill="auto"/>
            <w:noWrap/>
            <w:tcMar>
              <w:top w:w="12" w:type="dxa"/>
              <w:left w:w="12" w:type="dxa"/>
              <w:right w:w="12" w:type="dxa"/>
            </w:tcMar>
            <w:vAlign w:val="center"/>
          </w:tcPr>
          <w:p w:rsidR="005D451F" w:rsidRDefault="005D451F">
            <w:pPr>
              <w:rPr>
                <w:rFonts w:ascii="仿宋" w:eastAsia="仿宋" w:hAnsi="仿宋" w:cs="仿宋"/>
                <w:color w:val="000000"/>
                <w:sz w:val="20"/>
                <w:szCs w:val="20"/>
              </w:rPr>
            </w:pPr>
          </w:p>
        </w:tc>
      </w:tr>
      <w:tr w:rsidR="005D451F">
        <w:trPr>
          <w:trHeight w:val="560"/>
        </w:trPr>
        <w:tc>
          <w:tcPr>
            <w:tcW w:w="0" w:type="auto"/>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项</w:t>
            </w:r>
            <w:r>
              <w:rPr>
                <w:rFonts w:ascii="仿宋" w:eastAsia="仿宋" w:hAnsi="仿宋" w:cs="仿宋" w:hint="eastAsia"/>
                <w:b/>
                <w:color w:val="000000"/>
                <w:kern w:val="0"/>
                <w:sz w:val="24"/>
              </w:rPr>
              <w:t xml:space="preserve">  </w:t>
            </w:r>
            <w:r>
              <w:rPr>
                <w:rFonts w:ascii="仿宋" w:eastAsia="仿宋" w:hAnsi="仿宋" w:cs="仿宋" w:hint="eastAsia"/>
                <w:b/>
                <w:color w:val="000000"/>
                <w:kern w:val="0"/>
                <w:sz w:val="24"/>
              </w:rPr>
              <w:t>目</w:t>
            </w:r>
          </w:p>
        </w:tc>
        <w:tc>
          <w:tcPr>
            <w:tcW w:w="1564"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调整后预算数</w:t>
            </w:r>
          </w:p>
        </w:tc>
        <w:tc>
          <w:tcPr>
            <w:tcW w:w="1316"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实际执行数</w:t>
            </w:r>
          </w:p>
        </w:tc>
        <w:tc>
          <w:tcPr>
            <w:tcW w:w="0" w:type="auto"/>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差异数</w:t>
            </w:r>
          </w:p>
        </w:tc>
        <w:tc>
          <w:tcPr>
            <w:tcW w:w="0" w:type="auto"/>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预算执行率</w:t>
            </w:r>
          </w:p>
        </w:tc>
      </w:tr>
      <w:tr w:rsidR="005D451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办公费</w:t>
            </w:r>
          </w:p>
        </w:tc>
        <w:tc>
          <w:tcPr>
            <w:tcW w:w="1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17.50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17.50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5D451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培训费</w:t>
            </w:r>
          </w:p>
        </w:tc>
        <w:tc>
          <w:tcPr>
            <w:tcW w:w="1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8.40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8.40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5D451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会议费</w:t>
            </w:r>
          </w:p>
        </w:tc>
        <w:tc>
          <w:tcPr>
            <w:tcW w:w="1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7.70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7.70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5D451F">
        <w:trPr>
          <w:trHeight w:val="303"/>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委托业务费</w:t>
            </w:r>
          </w:p>
        </w:tc>
        <w:tc>
          <w:tcPr>
            <w:tcW w:w="1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17.40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17.40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5D451F">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2"/>
                <w:szCs w:val="22"/>
              </w:rPr>
              <w:t>其他商品和服务支出</w:t>
            </w:r>
          </w:p>
        </w:tc>
        <w:tc>
          <w:tcPr>
            <w:tcW w:w="1564"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9.00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9.00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color w:val="000000"/>
                <w:sz w:val="24"/>
              </w:rPr>
            </w:pPr>
            <w:r>
              <w:rPr>
                <w:rFonts w:ascii="仿宋" w:eastAsia="仿宋" w:hAnsi="仿宋" w:cs="仿宋" w:hint="eastAsia"/>
                <w:color w:val="000000"/>
                <w:kern w:val="0"/>
                <w:sz w:val="24"/>
              </w:rPr>
              <w:t>100.00%</w:t>
            </w:r>
          </w:p>
        </w:tc>
      </w:tr>
      <w:tr w:rsidR="005D451F">
        <w:trPr>
          <w:trHeight w:val="288"/>
        </w:trPr>
        <w:tc>
          <w:tcPr>
            <w:tcW w:w="2088"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合</w:t>
            </w:r>
            <w:r>
              <w:rPr>
                <w:rFonts w:ascii="仿宋" w:eastAsia="仿宋" w:hAnsi="仿宋" w:cs="仿宋" w:hint="eastAsia"/>
                <w:b/>
                <w:color w:val="000000"/>
                <w:kern w:val="0"/>
                <w:sz w:val="24"/>
              </w:rPr>
              <w:t xml:space="preserve">  </w:t>
            </w:r>
            <w:r>
              <w:rPr>
                <w:rFonts w:ascii="仿宋" w:eastAsia="仿宋" w:hAnsi="仿宋" w:cs="仿宋" w:hint="eastAsia"/>
                <w:b/>
                <w:color w:val="000000"/>
                <w:kern w:val="0"/>
                <w:sz w:val="24"/>
              </w:rPr>
              <w:t>计</w:t>
            </w:r>
          </w:p>
        </w:tc>
        <w:tc>
          <w:tcPr>
            <w:tcW w:w="1564"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5D451F" w:rsidRDefault="00426BA4">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60.00 </w:t>
            </w:r>
          </w:p>
        </w:tc>
        <w:tc>
          <w:tcPr>
            <w:tcW w:w="1316"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60.00 </w:t>
            </w:r>
          </w:p>
        </w:tc>
        <w:tc>
          <w:tcPr>
            <w:tcW w:w="14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 xml:space="preserve">0.00 </w:t>
            </w:r>
          </w:p>
        </w:tc>
        <w:tc>
          <w:tcPr>
            <w:tcW w:w="144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5D451F" w:rsidRDefault="00426BA4">
            <w:pPr>
              <w:widowControl/>
              <w:jc w:val="right"/>
              <w:textAlignment w:val="center"/>
              <w:rPr>
                <w:rFonts w:ascii="仿宋" w:eastAsia="仿宋" w:hAnsi="仿宋" w:cs="仿宋"/>
                <w:b/>
                <w:color w:val="000000"/>
                <w:sz w:val="24"/>
              </w:rPr>
            </w:pPr>
            <w:r>
              <w:rPr>
                <w:rFonts w:ascii="仿宋" w:eastAsia="仿宋" w:hAnsi="仿宋" w:cs="仿宋" w:hint="eastAsia"/>
                <w:b/>
                <w:color w:val="000000"/>
                <w:kern w:val="0"/>
                <w:sz w:val="24"/>
              </w:rPr>
              <w:t>100.00%</w:t>
            </w:r>
          </w:p>
        </w:tc>
      </w:tr>
    </w:tbl>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3</w:t>
      </w:r>
      <w:r>
        <w:rPr>
          <w:rFonts w:ascii="仿宋" w:eastAsia="仿宋" w:hAnsi="仿宋" w:cs="仿宋" w:hint="eastAsia"/>
          <w:b/>
          <w:sz w:val="32"/>
          <w:szCs w:val="32"/>
        </w:rPr>
        <w:t>、项目资金管理情况分析</w:t>
      </w:r>
    </w:p>
    <w:p w:rsidR="005D451F" w:rsidRDefault="00426BA4">
      <w:pPr>
        <w:spacing w:line="560" w:lineRule="exact"/>
        <w:ind w:firstLineChars="200" w:firstLine="640"/>
        <w:rPr>
          <w:rFonts w:ascii="仿宋" w:eastAsia="仿宋" w:hAnsi="仿宋" w:cs="仿宋"/>
          <w:sz w:val="32"/>
          <w:szCs w:val="32"/>
        </w:rPr>
      </w:pPr>
      <w:bookmarkStart w:id="1" w:name="_Hlk10024281"/>
      <w:r>
        <w:rPr>
          <w:rFonts w:ascii="仿宋" w:eastAsia="仿宋" w:hAnsi="仿宋" w:cs="仿宋" w:hint="eastAsia"/>
          <w:sz w:val="32"/>
          <w:szCs w:val="32"/>
        </w:rPr>
        <w:t>省司法厅十分重视财务管理工作，严格遵守国家财经法律法规，认真执行省直行政事业单位财务收支管理相关规定，资金管理情况较好。一是财务管理制度健全有效。</w:t>
      </w:r>
      <w:r>
        <w:rPr>
          <w:rFonts w:ascii="仿宋" w:eastAsia="仿宋" w:hAnsi="仿宋" w:cstheme="majorEastAsia" w:hint="eastAsia"/>
          <w:sz w:val="32"/>
          <w:szCs w:val="32"/>
        </w:rPr>
        <w:t>近几年，省司法厅</w:t>
      </w:r>
      <w:r>
        <w:rPr>
          <w:rFonts w:ascii="仿宋" w:eastAsia="仿宋" w:hAnsi="仿宋" w:cs="仿宋" w:hint="eastAsia"/>
          <w:sz w:val="32"/>
          <w:szCs w:val="32"/>
        </w:rPr>
        <w:t>结合自身实际修订印发了《湖北省司法厅财务管理办法》《湖北省司法厅会议费管理实施办法》《湖北省司法厅培训费管理实施办法》等财务管理制度，内部管理制度体系建设持续加强。二是资金使用合规。资金使用范围、对象明确，资金支付程序合规、手续完备，重大开支经过厅党组和厅办公会事前集体决策。三是资金支出真实、有效，无截留、挤占、挪用和虚列支出等情况。四是资金报账凭据及财务记录真实、完整、合规。</w:t>
      </w:r>
    </w:p>
    <w:bookmarkEnd w:id="1"/>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（二）绩效目标完成情况分析</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、产出指标完成情况分析</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评价设定分值</w:t>
      </w:r>
      <w:r>
        <w:rPr>
          <w:rFonts w:ascii="仿宋" w:eastAsia="仿宋" w:hAnsi="仿宋" w:cs="仿宋" w:hint="eastAsia"/>
          <w:sz w:val="32"/>
          <w:szCs w:val="32"/>
        </w:rPr>
        <w:t>60</w:t>
      </w:r>
      <w:r>
        <w:rPr>
          <w:rFonts w:ascii="仿宋" w:eastAsia="仿宋" w:hAnsi="仿宋" w:cs="仿宋" w:hint="eastAsia"/>
          <w:sz w:val="32"/>
          <w:szCs w:val="32"/>
        </w:rPr>
        <w:t>分，综合评价得分</w:t>
      </w:r>
      <w:r>
        <w:rPr>
          <w:rFonts w:ascii="仿宋" w:eastAsia="仿宋" w:hAnsi="仿宋" w:cs="仿宋" w:hint="eastAsia"/>
          <w:sz w:val="32"/>
          <w:szCs w:val="32"/>
        </w:rPr>
        <w:t>60</w:t>
      </w:r>
      <w:r>
        <w:rPr>
          <w:rFonts w:ascii="仿宋" w:eastAsia="仿宋" w:hAnsi="仿宋" w:cs="仿宋" w:hint="eastAsia"/>
          <w:sz w:val="32"/>
          <w:szCs w:val="32"/>
        </w:rPr>
        <w:t>分，得分率</w:t>
      </w:r>
      <w:r>
        <w:rPr>
          <w:rFonts w:ascii="仿宋" w:eastAsia="仿宋" w:hAnsi="仿宋" w:cs="仿宋" w:hint="eastAsia"/>
          <w:sz w:val="32"/>
          <w:szCs w:val="32"/>
        </w:rPr>
        <w:t>100%</w:t>
      </w:r>
      <w:r>
        <w:rPr>
          <w:rFonts w:ascii="仿宋" w:eastAsia="仿宋" w:hAnsi="仿宋" w:cs="仿宋" w:hint="eastAsia"/>
          <w:sz w:val="32"/>
          <w:szCs w:val="32"/>
        </w:rPr>
        <w:t>。</w:t>
      </w:r>
    </w:p>
    <w:p w:rsidR="005D451F" w:rsidRDefault="00426BA4">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1</w:t>
      </w:r>
      <w:r>
        <w:rPr>
          <w:rFonts w:ascii="仿宋" w:eastAsia="仿宋" w:hAnsi="仿宋" w:cs="仿宋" w:hint="eastAsia"/>
          <w:b/>
          <w:bCs/>
          <w:sz w:val="32"/>
          <w:szCs w:val="32"/>
        </w:rPr>
        <w:t>）考务工作人员</w:t>
      </w:r>
      <w:r>
        <w:rPr>
          <w:rFonts w:ascii="仿宋" w:eastAsia="仿宋" w:hAnsi="仿宋" w:cs="仿宋" w:hint="eastAsia"/>
          <w:b/>
          <w:bCs/>
          <w:sz w:val="32"/>
          <w:szCs w:val="32"/>
        </w:rPr>
        <w:t>培训人数</w:t>
      </w:r>
      <w:r>
        <w:rPr>
          <w:rFonts w:ascii="仿宋" w:eastAsia="仿宋" w:hAnsi="仿宋" w:cs="仿宋" w:hint="eastAsia"/>
          <w:sz w:val="32"/>
          <w:szCs w:val="32"/>
        </w:rPr>
        <w:tab/>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60</w:t>
      </w:r>
      <w:r>
        <w:rPr>
          <w:rFonts w:ascii="仿宋" w:eastAsia="仿宋" w:hAnsi="仿宋" w:cs="仿宋" w:hint="eastAsia"/>
          <w:sz w:val="32"/>
          <w:szCs w:val="32"/>
        </w:rPr>
        <w:t>人，设定分值</w:t>
      </w:r>
      <w:r>
        <w:rPr>
          <w:rFonts w:ascii="仿宋" w:eastAsia="仿宋" w:hAnsi="仿宋" w:cs="仿宋" w:hint="eastAsia"/>
          <w:sz w:val="32"/>
          <w:szCs w:val="32"/>
        </w:rPr>
        <w:t>10</w:t>
      </w:r>
      <w:r>
        <w:rPr>
          <w:rFonts w:ascii="仿宋" w:eastAsia="仿宋" w:hAnsi="仿宋" w:cs="仿宋" w:hint="eastAsia"/>
          <w:sz w:val="32"/>
          <w:szCs w:val="32"/>
        </w:rPr>
        <w:t>分。指标完成数值</w:t>
      </w:r>
      <w:r>
        <w:rPr>
          <w:rFonts w:ascii="仿宋" w:eastAsia="仿宋" w:hAnsi="仿宋" w:cs="仿宋" w:hint="eastAsia"/>
          <w:sz w:val="32"/>
          <w:szCs w:val="32"/>
        </w:rPr>
        <w:t>80</w:t>
      </w:r>
      <w:r>
        <w:rPr>
          <w:rFonts w:ascii="仿宋" w:eastAsia="仿宋" w:hAnsi="仿宋" w:cs="仿宋" w:hint="eastAsia"/>
          <w:sz w:val="32"/>
          <w:szCs w:val="32"/>
        </w:rPr>
        <w:t>人，指标完成率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bookmarkStart w:id="2" w:name="_Hlk9087327"/>
    </w:p>
    <w:p w:rsidR="005D451F" w:rsidRDefault="00426BA4">
      <w:pPr>
        <w:pStyle w:val="BodyTextFirstIndent21"/>
        <w:spacing w:line="560" w:lineRule="exact"/>
        <w:ind w:firstLine="640"/>
        <w:rPr>
          <w:sz w:val="32"/>
          <w:szCs w:val="32"/>
        </w:rPr>
      </w:pPr>
      <w:r>
        <w:rPr>
          <w:rFonts w:ascii="仿宋" w:eastAsia="仿宋" w:hAnsi="仿宋" w:cs="仿宋" w:hint="eastAsia"/>
          <w:sz w:val="32"/>
          <w:szCs w:val="32"/>
        </w:rPr>
        <w:t>2019</w:t>
      </w:r>
      <w:r>
        <w:rPr>
          <w:rFonts w:ascii="仿宋" w:eastAsia="仿宋" w:hAnsi="仿宋" w:cs="仿宋" w:hint="eastAsia"/>
          <w:sz w:val="32"/>
          <w:szCs w:val="32"/>
        </w:rPr>
        <w:t>年，为保障国家统一法律职业资格考试湖北省考区考务工作顺利进行，省司法厅组织了</w:t>
      </w:r>
      <w:r>
        <w:rPr>
          <w:rFonts w:ascii="仿宋" w:eastAsia="仿宋" w:hAnsi="仿宋" w:cs="仿宋" w:hint="eastAsia"/>
          <w:sz w:val="32"/>
          <w:szCs w:val="32"/>
        </w:rPr>
        <w:t>80</w:t>
      </w:r>
      <w:r>
        <w:rPr>
          <w:rFonts w:ascii="仿宋" w:eastAsia="仿宋" w:hAnsi="仿宋" w:cs="仿宋" w:hint="eastAsia"/>
          <w:sz w:val="32"/>
          <w:szCs w:val="32"/>
        </w:rPr>
        <w:t>余人参加了考务工作培训。</w:t>
      </w:r>
    </w:p>
    <w:bookmarkEnd w:id="2"/>
    <w:p w:rsidR="005D451F" w:rsidRDefault="00426BA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2</w:t>
      </w:r>
      <w:r>
        <w:rPr>
          <w:rFonts w:ascii="仿宋" w:eastAsia="仿宋" w:hAnsi="仿宋" w:cs="仿宋" w:hint="eastAsia"/>
          <w:b/>
          <w:bCs/>
          <w:sz w:val="32"/>
          <w:szCs w:val="32"/>
        </w:rPr>
        <w:t>）督考人数</w:t>
      </w:r>
    </w:p>
    <w:p w:rsidR="005D451F" w:rsidRDefault="00426BA4">
      <w:pPr>
        <w:spacing w:line="560" w:lineRule="exact"/>
        <w:ind w:firstLineChars="200" w:firstLine="640"/>
        <w:rPr>
          <w:rFonts w:ascii="仿宋" w:eastAsia="仿宋" w:hAnsi="仿宋" w:cs="仿宋"/>
          <w:sz w:val="32"/>
          <w:szCs w:val="32"/>
        </w:rPr>
      </w:pPr>
      <w:bookmarkStart w:id="3" w:name="_Hlk9087572"/>
      <w:r>
        <w:rPr>
          <w:rFonts w:ascii="仿宋" w:eastAsia="仿宋" w:hAnsi="仿宋" w:cs="仿宋" w:hint="eastAsia"/>
          <w:sz w:val="32"/>
          <w:szCs w:val="32"/>
        </w:rPr>
        <w:t>指标目标值为≥</w:t>
      </w:r>
      <w:r>
        <w:rPr>
          <w:rFonts w:ascii="仿宋" w:eastAsia="仿宋" w:hAnsi="仿宋" w:cs="仿宋" w:hint="eastAsia"/>
          <w:sz w:val="32"/>
          <w:szCs w:val="32"/>
        </w:rPr>
        <w:t>33</w:t>
      </w:r>
      <w:r>
        <w:rPr>
          <w:rFonts w:ascii="仿宋" w:eastAsia="仿宋" w:hAnsi="仿宋" w:cs="仿宋" w:hint="eastAsia"/>
          <w:sz w:val="32"/>
          <w:szCs w:val="32"/>
        </w:rPr>
        <w:t>人，设定分值</w:t>
      </w:r>
      <w:r>
        <w:rPr>
          <w:rFonts w:ascii="仿宋" w:eastAsia="仿宋" w:hAnsi="仿宋" w:cs="仿宋" w:hint="eastAsia"/>
          <w:sz w:val="32"/>
          <w:szCs w:val="32"/>
        </w:rPr>
        <w:t>10</w:t>
      </w:r>
      <w:r>
        <w:rPr>
          <w:rFonts w:ascii="仿宋" w:eastAsia="仿宋" w:hAnsi="仿宋" w:cs="仿宋" w:hint="eastAsia"/>
          <w:sz w:val="32"/>
          <w:szCs w:val="32"/>
        </w:rPr>
        <w:t>分。指标完成数值</w:t>
      </w:r>
      <w:r>
        <w:rPr>
          <w:rFonts w:ascii="仿宋" w:eastAsia="仿宋" w:hAnsi="仿宋" w:cs="仿宋" w:hint="eastAsia"/>
          <w:sz w:val="32"/>
          <w:szCs w:val="32"/>
        </w:rPr>
        <w:t>120</w:t>
      </w:r>
      <w:r>
        <w:rPr>
          <w:rFonts w:ascii="仿宋" w:eastAsia="仿宋" w:hAnsi="仿宋" w:cs="仿宋" w:hint="eastAsia"/>
          <w:sz w:val="32"/>
          <w:szCs w:val="32"/>
        </w:rPr>
        <w:t>余人，指标完成率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w:t>
      </w:r>
      <w:r>
        <w:rPr>
          <w:rFonts w:ascii="仿宋" w:eastAsia="仿宋" w:hAnsi="仿宋" w:cs="仿宋" w:hint="eastAsia"/>
          <w:sz w:val="32"/>
          <w:szCs w:val="32"/>
        </w:rPr>
        <w:lastRenderedPageBreak/>
        <w:t>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pStyle w:val="BodyTextFirstIndent21"/>
        <w:spacing w:line="560" w:lineRule="exact"/>
        <w:ind w:firstLine="640"/>
        <w:rPr>
          <w:sz w:val="32"/>
          <w:szCs w:val="32"/>
        </w:rPr>
      </w:pPr>
      <w:r>
        <w:rPr>
          <w:rFonts w:ascii="仿宋" w:eastAsia="仿宋" w:hAnsi="仿宋" w:cs="仿宋" w:hint="eastAsia"/>
          <w:sz w:val="32"/>
          <w:szCs w:val="32"/>
        </w:rPr>
        <w:t>2019</w:t>
      </w:r>
      <w:r>
        <w:rPr>
          <w:rFonts w:ascii="仿宋" w:eastAsia="仿宋" w:hAnsi="仿宋" w:cs="仿宋" w:hint="eastAsia"/>
          <w:sz w:val="32"/>
          <w:szCs w:val="32"/>
        </w:rPr>
        <w:t>年，国家统一法律职业资格考试湖北省考区督考人数实际达</w:t>
      </w:r>
      <w:r>
        <w:rPr>
          <w:rFonts w:ascii="仿宋" w:eastAsia="仿宋" w:hAnsi="仿宋" w:cs="仿宋" w:hint="eastAsia"/>
          <w:sz w:val="32"/>
          <w:szCs w:val="32"/>
        </w:rPr>
        <w:t>120</w:t>
      </w:r>
      <w:r>
        <w:rPr>
          <w:rFonts w:ascii="仿宋" w:eastAsia="仿宋" w:hAnsi="仿宋" w:cs="仿宋" w:hint="eastAsia"/>
          <w:sz w:val="32"/>
          <w:szCs w:val="32"/>
        </w:rPr>
        <w:t>余人。</w:t>
      </w:r>
    </w:p>
    <w:bookmarkEnd w:id="3"/>
    <w:p w:rsidR="005D451F" w:rsidRDefault="00426BA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3</w:t>
      </w:r>
      <w:r>
        <w:rPr>
          <w:rFonts w:ascii="仿宋" w:eastAsia="仿宋" w:hAnsi="仿宋" w:cs="仿宋" w:hint="eastAsia"/>
          <w:b/>
          <w:bCs/>
          <w:sz w:val="32"/>
          <w:szCs w:val="32"/>
        </w:rPr>
        <w:t>）</w:t>
      </w:r>
      <w:bookmarkStart w:id="4" w:name="_Hlk9087361"/>
      <w:r>
        <w:rPr>
          <w:rFonts w:ascii="仿宋" w:eastAsia="仿宋" w:hAnsi="仿宋" w:cs="仿宋" w:hint="eastAsia"/>
          <w:b/>
          <w:bCs/>
          <w:sz w:val="32"/>
          <w:szCs w:val="32"/>
        </w:rPr>
        <w:t>国家统一法律职业资格考试工作人员重大违纪事件</w:t>
      </w:r>
    </w:p>
    <w:bookmarkEnd w:id="4"/>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0</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分。指标完成数值为</w:t>
      </w:r>
      <w:r>
        <w:rPr>
          <w:rFonts w:ascii="仿宋" w:eastAsia="仿宋" w:hAnsi="仿宋" w:cs="仿宋" w:hint="eastAsia"/>
          <w:sz w:val="32"/>
          <w:szCs w:val="32"/>
        </w:rPr>
        <w:t>0</w:t>
      </w:r>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我省国家统一法律职业资格考试顺利进行，无重大违纪事件。一是切实做好各项准备工作。认真做好考试宣传、报名审核工作。摸清机位底数，科学设置考区考点，落实考试保障措施，认真做好考试宣传、报名审核工作。二是加强领导，明确责任。省政府成立了由省直各有关部门组成的省国家统一法律职业资格考试工作领导小组，明确了省司法厅与各考试区司法局</w:t>
      </w:r>
      <w:r>
        <w:rPr>
          <w:rFonts w:ascii="仿宋" w:eastAsia="仿宋" w:hAnsi="仿宋" w:cs="仿宋" w:hint="eastAsia"/>
          <w:sz w:val="32"/>
          <w:szCs w:val="32"/>
        </w:rPr>
        <w:t xml:space="preserve"> </w:t>
      </w:r>
      <w:r>
        <w:rPr>
          <w:rFonts w:ascii="仿宋" w:eastAsia="仿宋" w:hAnsi="仿宋" w:cs="仿宋" w:hint="eastAsia"/>
          <w:sz w:val="32"/>
          <w:szCs w:val="32"/>
        </w:rPr>
        <w:t>“一把手”责任、属地责任和主体责任，层层签订目标责任书，确保司法考试组织</w:t>
      </w:r>
      <w:r>
        <w:rPr>
          <w:rFonts w:ascii="仿宋" w:eastAsia="仿宋" w:hAnsi="仿宋" w:cs="仿宋" w:hint="eastAsia"/>
          <w:sz w:val="32"/>
          <w:szCs w:val="32"/>
        </w:rPr>
        <w:t>实施严谨周密、协调保障有力有序、试卷（答卷）管理安全保密。三是各考试区司法局加大考试监察、巡查力度，确保各项监考措施得到落实，确保考试不发生重大违纪事件。</w:t>
      </w:r>
    </w:p>
    <w:p w:rsidR="005D451F" w:rsidRDefault="00426BA4">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4</w:t>
      </w:r>
      <w:r>
        <w:rPr>
          <w:rFonts w:ascii="仿宋" w:eastAsia="仿宋" w:hAnsi="仿宋" w:cs="仿宋" w:hint="eastAsia"/>
          <w:b/>
          <w:bCs/>
          <w:sz w:val="32"/>
          <w:szCs w:val="32"/>
        </w:rPr>
        <w:t>）网上报名人员信息反馈率</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100%</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分。实际完成值</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分，指标值偏差率为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年，通过网上报名的参考人员，均以短信沟通方式进行了确认，信息反馈率全覆盖。</w:t>
      </w:r>
    </w:p>
    <w:p w:rsidR="005D451F" w:rsidRDefault="00426BA4">
      <w:pPr>
        <w:pStyle w:val="BodyTextFirstIndent21"/>
        <w:numPr>
          <w:ilvl w:val="0"/>
          <w:numId w:val="1"/>
        </w:numPr>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资格档案归档及调转差错率</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lastRenderedPageBreak/>
        <w:t>指标目标值为＜</w:t>
      </w:r>
      <w:r>
        <w:rPr>
          <w:rFonts w:ascii="仿宋" w:eastAsia="仿宋" w:hAnsi="仿宋" w:cs="仿宋" w:hint="eastAsia"/>
          <w:sz w:val="32"/>
          <w:szCs w:val="32"/>
        </w:rPr>
        <w:t>4%</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分。指标完成数值为</w:t>
      </w:r>
      <w:r>
        <w:rPr>
          <w:rFonts w:ascii="仿宋" w:eastAsia="仿宋" w:hAnsi="仿宋" w:cs="仿宋" w:hint="eastAsia"/>
          <w:sz w:val="32"/>
          <w:szCs w:val="32"/>
        </w:rPr>
        <w:t>0</w:t>
      </w:r>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年，经</w:t>
      </w:r>
      <w:r>
        <w:rPr>
          <w:rFonts w:ascii="仿宋" w:eastAsia="仿宋" w:hAnsi="仿宋" w:cs="仿宋" w:hint="eastAsia"/>
          <w:sz w:val="32"/>
          <w:szCs w:val="32"/>
        </w:rPr>
        <w:t>审核复查，资格档案归档及调转差错率为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pStyle w:val="BodyTextFirstIndent21"/>
        <w:spacing w:line="560" w:lineRule="exact"/>
        <w:ind w:firstLine="643"/>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6</w:t>
      </w:r>
      <w:r>
        <w:rPr>
          <w:rFonts w:ascii="仿宋" w:eastAsia="仿宋" w:hAnsi="仿宋" w:cs="仿宋" w:hint="eastAsia"/>
          <w:b/>
          <w:bCs/>
          <w:sz w:val="32"/>
          <w:szCs w:val="32"/>
        </w:rPr>
        <w:t>）授予法律职业资格审核差错率</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指标目标值为＜</w:t>
      </w:r>
      <w:r>
        <w:rPr>
          <w:rFonts w:ascii="仿宋" w:eastAsia="仿宋" w:hAnsi="仿宋" w:cs="仿宋" w:hint="eastAsia"/>
          <w:sz w:val="32"/>
          <w:szCs w:val="32"/>
        </w:rPr>
        <w:t>4%</w:t>
      </w:r>
      <w:r>
        <w:rPr>
          <w:rFonts w:ascii="仿宋" w:eastAsia="仿宋" w:hAnsi="仿宋" w:cs="仿宋" w:hint="eastAsia"/>
          <w:sz w:val="32"/>
          <w:szCs w:val="32"/>
        </w:rPr>
        <w:t>，设定分值</w:t>
      </w:r>
      <w:r>
        <w:rPr>
          <w:rFonts w:ascii="仿宋" w:eastAsia="仿宋" w:hAnsi="仿宋" w:cs="仿宋" w:hint="eastAsia"/>
          <w:sz w:val="32"/>
          <w:szCs w:val="32"/>
        </w:rPr>
        <w:t>10</w:t>
      </w:r>
      <w:r>
        <w:rPr>
          <w:rFonts w:ascii="仿宋" w:eastAsia="仿宋" w:hAnsi="仿宋" w:cs="仿宋" w:hint="eastAsia"/>
          <w:sz w:val="32"/>
          <w:szCs w:val="32"/>
        </w:rPr>
        <w:t>分。指标完成数值为</w:t>
      </w:r>
      <w:r>
        <w:rPr>
          <w:rFonts w:ascii="仿宋" w:eastAsia="仿宋" w:hAnsi="仿宋" w:cs="仿宋" w:hint="eastAsia"/>
          <w:sz w:val="32"/>
          <w:szCs w:val="32"/>
        </w:rPr>
        <w:t>0</w:t>
      </w:r>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10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年，经审核复查，授予法律职业资格审核差错率为</w:t>
      </w:r>
      <w:r>
        <w:rPr>
          <w:rFonts w:ascii="仿宋" w:eastAsia="仿宋" w:hAnsi="仿宋" w:cs="仿宋" w:hint="eastAsia"/>
          <w:sz w:val="32"/>
          <w:szCs w:val="32"/>
        </w:rPr>
        <w:t>0</w:t>
      </w:r>
      <w:r>
        <w:rPr>
          <w:rFonts w:ascii="仿宋" w:eastAsia="仿宋" w:hAnsi="仿宋" w:cs="仿宋" w:hint="eastAsia"/>
          <w:sz w:val="32"/>
          <w:szCs w:val="32"/>
        </w:rPr>
        <w:t>，各方面无异议。</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2. </w:t>
      </w:r>
      <w:r>
        <w:rPr>
          <w:rFonts w:ascii="仿宋" w:eastAsia="仿宋" w:hAnsi="仿宋" w:cs="仿宋" w:hint="eastAsia"/>
          <w:b/>
          <w:sz w:val="32"/>
          <w:szCs w:val="32"/>
        </w:rPr>
        <w:t>效益指标完成情况分析</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评价设定分值</w:t>
      </w:r>
      <w:r>
        <w:rPr>
          <w:rFonts w:ascii="仿宋" w:eastAsia="仿宋" w:hAnsi="仿宋" w:cs="仿宋" w:hint="eastAsia"/>
          <w:sz w:val="32"/>
          <w:szCs w:val="32"/>
        </w:rPr>
        <w:t>20</w:t>
      </w:r>
      <w:r>
        <w:rPr>
          <w:rFonts w:ascii="仿宋" w:eastAsia="仿宋" w:hAnsi="仿宋" w:cs="仿宋" w:hint="eastAsia"/>
          <w:sz w:val="32"/>
          <w:szCs w:val="32"/>
        </w:rPr>
        <w:t>分，综合评价得分</w:t>
      </w:r>
      <w:r>
        <w:rPr>
          <w:rFonts w:ascii="仿宋" w:eastAsia="仿宋" w:hAnsi="仿宋" w:cs="仿宋" w:hint="eastAsia"/>
          <w:sz w:val="32"/>
          <w:szCs w:val="32"/>
        </w:rPr>
        <w:t>20</w:t>
      </w:r>
      <w:r>
        <w:rPr>
          <w:rFonts w:ascii="仿宋" w:eastAsia="仿宋" w:hAnsi="仿宋" w:cs="仿宋" w:hint="eastAsia"/>
          <w:sz w:val="32"/>
          <w:szCs w:val="32"/>
        </w:rPr>
        <w:t>分，得分率</w:t>
      </w:r>
      <w:r>
        <w:rPr>
          <w:rFonts w:ascii="仿宋" w:eastAsia="仿宋" w:hAnsi="仿宋" w:cs="仿宋" w:hint="eastAsia"/>
          <w:sz w:val="32"/>
          <w:szCs w:val="32"/>
        </w:rPr>
        <w:t>100%</w:t>
      </w:r>
      <w:r>
        <w:rPr>
          <w:rFonts w:ascii="仿宋" w:eastAsia="仿宋" w:hAnsi="仿宋" w:cs="仿宋" w:hint="eastAsia"/>
          <w:sz w:val="32"/>
          <w:szCs w:val="32"/>
        </w:rPr>
        <w:t>。</w:t>
      </w:r>
    </w:p>
    <w:p w:rsidR="005D451F" w:rsidRDefault="00426BA4">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考生对组织考试的满意度：</w:t>
      </w:r>
      <w:r>
        <w:rPr>
          <w:rFonts w:ascii="仿宋" w:eastAsia="仿宋" w:hAnsi="仿宋" w:cs="仿宋" w:hint="eastAsia"/>
          <w:sz w:val="32"/>
          <w:szCs w:val="32"/>
        </w:rPr>
        <w:t>指标目标值为≥</w:t>
      </w:r>
      <w:r>
        <w:rPr>
          <w:rFonts w:ascii="仿宋" w:eastAsia="仿宋" w:hAnsi="仿宋" w:cs="仿宋" w:hint="eastAsia"/>
          <w:sz w:val="32"/>
          <w:szCs w:val="32"/>
        </w:rPr>
        <w:t>80&amp;</w:t>
      </w:r>
      <w:r>
        <w:rPr>
          <w:rFonts w:ascii="仿宋" w:eastAsia="仿宋" w:hAnsi="仿宋" w:cs="仿宋" w:hint="eastAsia"/>
          <w:sz w:val="32"/>
          <w:szCs w:val="32"/>
        </w:rPr>
        <w:t>，设定分值</w:t>
      </w:r>
      <w:r>
        <w:rPr>
          <w:rFonts w:ascii="仿宋" w:eastAsia="仿宋" w:hAnsi="仿宋" w:cs="仿宋" w:hint="eastAsia"/>
          <w:sz w:val="32"/>
          <w:szCs w:val="32"/>
        </w:rPr>
        <w:t>20</w:t>
      </w:r>
      <w:r>
        <w:rPr>
          <w:rFonts w:ascii="仿宋" w:eastAsia="仿宋" w:hAnsi="仿宋" w:cs="仿宋" w:hint="eastAsia"/>
          <w:sz w:val="32"/>
          <w:szCs w:val="32"/>
        </w:rPr>
        <w:t>分。指标完成数值</w:t>
      </w:r>
      <w:r>
        <w:rPr>
          <w:rFonts w:ascii="仿宋" w:eastAsia="仿宋" w:hAnsi="仿宋" w:cs="仿宋" w:hint="eastAsia"/>
          <w:sz w:val="32"/>
          <w:szCs w:val="32"/>
        </w:rPr>
        <w:t>99.73%</w:t>
      </w:r>
      <w:r>
        <w:rPr>
          <w:rFonts w:ascii="仿宋" w:eastAsia="仿宋" w:hAnsi="仿宋" w:cs="仿宋" w:hint="eastAsia"/>
          <w:sz w:val="32"/>
          <w:szCs w:val="32"/>
        </w:rPr>
        <w:t>，指标完成率</w:t>
      </w:r>
      <w:r>
        <w:rPr>
          <w:rFonts w:ascii="仿宋" w:eastAsia="仿宋" w:hAnsi="仿宋" w:cs="仿宋" w:hint="eastAsia"/>
          <w:sz w:val="32"/>
          <w:szCs w:val="32"/>
        </w:rPr>
        <w:t>100%</w:t>
      </w:r>
      <w:r>
        <w:rPr>
          <w:rFonts w:ascii="仿宋" w:eastAsia="仿宋" w:hAnsi="仿宋" w:cs="仿宋" w:hint="eastAsia"/>
          <w:sz w:val="32"/>
          <w:szCs w:val="32"/>
        </w:rPr>
        <w:t>，得分</w:t>
      </w:r>
      <w:r>
        <w:rPr>
          <w:rFonts w:ascii="仿宋" w:eastAsia="仿宋" w:hAnsi="仿宋" w:cs="仿宋" w:hint="eastAsia"/>
          <w:sz w:val="32"/>
          <w:szCs w:val="32"/>
        </w:rPr>
        <w:t>20</w:t>
      </w:r>
      <w:r>
        <w:rPr>
          <w:rFonts w:ascii="仿宋" w:eastAsia="仿宋" w:hAnsi="仿宋" w:cs="仿宋" w:hint="eastAsia"/>
          <w:sz w:val="32"/>
          <w:szCs w:val="32"/>
        </w:rPr>
        <w:t>分，指标执行偏差率为</w:t>
      </w:r>
      <w:r>
        <w:rPr>
          <w:rFonts w:ascii="仿宋" w:eastAsia="仿宋" w:hAnsi="仿宋" w:cs="仿宋" w:hint="eastAsia"/>
          <w:sz w:val="32"/>
          <w:szCs w:val="32"/>
        </w:rPr>
        <w:t>0</w:t>
      </w:r>
      <w:r>
        <w:rPr>
          <w:rFonts w:ascii="仿宋" w:eastAsia="仿宋" w:hAnsi="仿宋" w:cs="仿宋" w:hint="eastAsia"/>
          <w:sz w:val="32"/>
          <w:szCs w:val="32"/>
        </w:rPr>
        <w:t>。</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本次评价，向</w:t>
      </w:r>
      <w:r>
        <w:rPr>
          <w:rFonts w:ascii="仿宋" w:eastAsia="仿宋" w:hAnsi="仿宋" w:cs="仿宋" w:hint="eastAsia"/>
          <w:sz w:val="32"/>
          <w:szCs w:val="32"/>
        </w:rPr>
        <w:t>17</w:t>
      </w:r>
      <w:r>
        <w:rPr>
          <w:rFonts w:ascii="仿宋" w:eastAsia="仿宋" w:hAnsi="仿宋" w:cs="仿宋" w:hint="eastAsia"/>
          <w:sz w:val="32"/>
          <w:szCs w:val="32"/>
        </w:rPr>
        <w:t>个市（州）参加</w:t>
      </w:r>
      <w:r>
        <w:rPr>
          <w:rFonts w:ascii="仿宋" w:eastAsia="仿宋" w:hAnsi="仿宋" w:cs="仿宋" w:hint="eastAsia"/>
          <w:sz w:val="32"/>
          <w:szCs w:val="32"/>
        </w:rPr>
        <w:t>2019</w:t>
      </w:r>
      <w:r>
        <w:rPr>
          <w:rFonts w:ascii="仿宋" w:eastAsia="仿宋" w:hAnsi="仿宋" w:cs="仿宋" w:hint="eastAsia"/>
          <w:sz w:val="32"/>
          <w:szCs w:val="32"/>
        </w:rPr>
        <w:t>年度国家统一法律职业资格考试的考生随机发放满意度调查问卷</w:t>
      </w:r>
      <w:r>
        <w:rPr>
          <w:rFonts w:ascii="仿宋" w:eastAsia="仿宋" w:hAnsi="仿宋" w:cs="仿宋" w:hint="eastAsia"/>
          <w:sz w:val="32"/>
          <w:szCs w:val="32"/>
        </w:rPr>
        <w:t>550</w:t>
      </w:r>
      <w:r>
        <w:rPr>
          <w:rFonts w:ascii="仿宋" w:eastAsia="仿宋" w:hAnsi="仿宋" w:cs="仿宋" w:hint="eastAsia"/>
          <w:sz w:val="32"/>
          <w:szCs w:val="32"/>
        </w:rPr>
        <w:t>份，收回有效问卷</w:t>
      </w:r>
      <w:r>
        <w:rPr>
          <w:rFonts w:ascii="仿宋" w:eastAsia="仿宋" w:hAnsi="仿宋" w:cs="仿宋" w:hint="eastAsia"/>
          <w:sz w:val="32"/>
          <w:szCs w:val="32"/>
        </w:rPr>
        <w:t>535</w:t>
      </w:r>
      <w:r>
        <w:rPr>
          <w:rFonts w:ascii="仿宋" w:eastAsia="仿宋" w:hAnsi="仿宋" w:cs="仿宋" w:hint="eastAsia"/>
          <w:sz w:val="32"/>
          <w:szCs w:val="32"/>
        </w:rPr>
        <w:t>份。调查问卷涉及考试环境、机考保障、监考人员的履职尽责情况、考试信息通告情况、进考场时身份核验情况等</w:t>
      </w:r>
      <w:r>
        <w:rPr>
          <w:rFonts w:ascii="仿宋" w:eastAsia="仿宋" w:hAnsi="仿宋" w:cs="仿宋" w:hint="eastAsia"/>
          <w:sz w:val="32"/>
          <w:szCs w:val="32"/>
        </w:rPr>
        <w:t>5</w:t>
      </w:r>
      <w:r>
        <w:rPr>
          <w:rFonts w:ascii="仿宋" w:eastAsia="仿宋" w:hAnsi="仿宋" w:cs="仿宋" w:hint="eastAsia"/>
          <w:sz w:val="32"/>
          <w:szCs w:val="32"/>
        </w:rPr>
        <w:t>个方面调查内容。经汇总计算调查结果，考生对</w:t>
      </w:r>
      <w:r>
        <w:rPr>
          <w:rFonts w:ascii="仿宋" w:eastAsia="仿宋" w:hAnsi="仿宋" w:cs="仿宋" w:hint="eastAsia"/>
          <w:sz w:val="32"/>
          <w:szCs w:val="32"/>
        </w:rPr>
        <w:t>2019</w:t>
      </w:r>
      <w:r>
        <w:rPr>
          <w:rFonts w:ascii="仿宋" w:eastAsia="仿宋" w:hAnsi="仿宋" w:cs="仿宋" w:hint="eastAsia"/>
          <w:sz w:val="32"/>
          <w:szCs w:val="32"/>
        </w:rPr>
        <w:t>年度国家统一法律职业资格考试组织工作的满意度为</w:t>
      </w:r>
      <w:r>
        <w:rPr>
          <w:rFonts w:ascii="仿宋" w:eastAsia="仿宋" w:hAnsi="仿宋" w:cs="仿宋" w:hint="eastAsia"/>
          <w:sz w:val="32"/>
          <w:szCs w:val="32"/>
        </w:rPr>
        <w:t>99.73%</w:t>
      </w:r>
      <w:r>
        <w:rPr>
          <w:rFonts w:ascii="仿宋" w:eastAsia="仿宋" w:hAnsi="仿宋" w:cs="仿宋" w:hint="eastAsia"/>
          <w:sz w:val="32"/>
          <w:szCs w:val="32"/>
        </w:rPr>
        <w:t>。</w:t>
      </w:r>
    </w:p>
    <w:p w:rsidR="005D451F" w:rsidRDefault="00426BA4">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四、自评结果拟应用情况</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（一）下一步整改措施</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sz w:val="32"/>
          <w:szCs w:val="32"/>
        </w:rPr>
        <w:t>、项目整改措施</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在绩效自评结果确定后二十日内，以正式文件或函件等</w:t>
      </w:r>
      <w:r>
        <w:rPr>
          <w:rFonts w:ascii="仿宋" w:eastAsia="仿宋" w:hAnsi="仿宋" w:cs="仿宋" w:hint="eastAsia"/>
          <w:sz w:val="32"/>
          <w:szCs w:val="32"/>
        </w:rPr>
        <w:lastRenderedPageBreak/>
        <w:t>形式将绩效自评结果和整改要求反馈给项目执行部门。项目执行部门按下</w:t>
      </w:r>
      <w:r>
        <w:rPr>
          <w:rFonts w:ascii="仿宋" w:eastAsia="仿宋" w:hAnsi="仿宋" w:cs="仿宋" w:hint="eastAsia"/>
          <w:sz w:val="32"/>
          <w:szCs w:val="32"/>
        </w:rPr>
        <w:t>述整改措施，在九十日内逐项落实到位。</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是坚持预算编制全面性和准确性等原则，进一步增强预算编制的科学性、前瞻性和准确性，不断提高预算编制质量。二是强化预算的刚性约束，按照批复的项目预算和单位年度工作计划，坚守“量入为出”等预算管理原则，严格执行预算。</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、绩效目标调整完善措施</w:t>
      </w:r>
    </w:p>
    <w:p w:rsidR="00EE79F1" w:rsidRDefault="00EE79F1" w:rsidP="00EE79F1">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为进一步完善绩效指标体系，充分发挥绩效目标的导向和激励作用，根据</w:t>
      </w:r>
      <w:r>
        <w:rPr>
          <w:rFonts w:ascii="仿宋" w:eastAsia="仿宋" w:hAnsi="仿宋" w:cs="仿宋"/>
          <w:sz w:val="32"/>
          <w:szCs w:val="32"/>
        </w:rPr>
        <w:t>机构改革后的</w:t>
      </w:r>
      <w:r>
        <w:rPr>
          <w:rFonts w:ascii="仿宋" w:eastAsia="仿宋" w:hAnsi="仿宋" w:cs="仿宋" w:hint="eastAsia"/>
          <w:sz w:val="32"/>
          <w:szCs w:val="32"/>
        </w:rPr>
        <w:t>新职能新定位，</w:t>
      </w:r>
      <w:r w:rsidRPr="007A6B64">
        <w:rPr>
          <w:rFonts w:ascii="仿宋" w:eastAsia="仿宋" w:hAnsi="仿宋" w:cs="仿宋" w:hint="eastAsia"/>
          <w:sz w:val="32"/>
          <w:szCs w:val="32"/>
        </w:rPr>
        <w:t>按照指向明确、细化量化、合理可行、相应匹配的原则，科学合理设定预算绩效目标</w:t>
      </w:r>
      <w:r>
        <w:rPr>
          <w:rFonts w:ascii="仿宋" w:eastAsia="仿宋" w:hAnsi="仿宋" w:cs="仿宋" w:hint="eastAsia"/>
          <w:sz w:val="32"/>
          <w:szCs w:val="32"/>
        </w:rPr>
        <w:t>。</w:t>
      </w:r>
    </w:p>
    <w:p w:rsidR="005D451F" w:rsidRDefault="00426BA4">
      <w:pPr>
        <w:spacing w:line="560" w:lineRule="exact"/>
        <w:ind w:firstLineChars="200" w:firstLine="643"/>
        <w:rPr>
          <w:rFonts w:ascii="仿宋" w:eastAsia="仿宋" w:hAnsi="仿宋" w:cs="仿宋"/>
          <w:b/>
          <w:sz w:val="32"/>
          <w:szCs w:val="32"/>
        </w:rPr>
      </w:pPr>
      <w:bookmarkStart w:id="5" w:name="_GoBack"/>
      <w:bookmarkEnd w:id="5"/>
      <w:r>
        <w:rPr>
          <w:rFonts w:ascii="仿宋" w:eastAsia="仿宋" w:hAnsi="仿宋" w:cs="仿宋" w:hint="eastAsia"/>
          <w:b/>
          <w:sz w:val="32"/>
          <w:szCs w:val="32"/>
        </w:rPr>
        <w:t>（二）拟与预算安排相结合</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、绩效自评结果拟作为</w:t>
      </w:r>
      <w:r>
        <w:rPr>
          <w:rFonts w:ascii="仿宋" w:eastAsia="仿宋" w:hAnsi="仿宋" w:cs="仿宋" w:hint="eastAsia"/>
          <w:sz w:val="32"/>
          <w:szCs w:val="32"/>
        </w:rPr>
        <w:t>2020</w:t>
      </w:r>
      <w:r>
        <w:rPr>
          <w:rFonts w:ascii="仿宋" w:eastAsia="仿宋" w:hAnsi="仿宋" w:cs="仿宋" w:hint="eastAsia"/>
          <w:sz w:val="32"/>
          <w:szCs w:val="32"/>
        </w:rPr>
        <w:t>年度项目预算调整及</w:t>
      </w:r>
      <w:r>
        <w:rPr>
          <w:rFonts w:ascii="仿宋" w:eastAsia="仿宋" w:hAnsi="仿宋" w:cs="仿宋" w:hint="eastAsia"/>
          <w:sz w:val="32"/>
          <w:szCs w:val="32"/>
        </w:rPr>
        <w:t>2021</w:t>
      </w:r>
      <w:r>
        <w:rPr>
          <w:rFonts w:ascii="仿宋" w:eastAsia="仿宋" w:hAnsi="仿宋" w:cs="仿宋" w:hint="eastAsia"/>
          <w:sz w:val="32"/>
          <w:szCs w:val="32"/>
        </w:rPr>
        <w:t>年度项目预算编制和财政资金安排的重要依据。</w:t>
      </w:r>
    </w:p>
    <w:p w:rsidR="005D451F" w:rsidRDefault="00426BA4">
      <w:pPr>
        <w:pStyle w:val="BodyTextFirstIndent21"/>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、努力提高预算年度工作任务计划的精准性，进一步明确项目主管单位（部门）预算管理职责，重视业务骨干参与预算管理工作全过程的协调，切实加强预算管理工作。</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、建立项目绩效考核机制，将项目实施过程和自评结果与人员绩效考核挂钩，增强项目实施人员的积极性和责任心，正确引导项目实施方向，确保实现项目目标。</w:t>
      </w:r>
    </w:p>
    <w:p w:rsidR="005D451F" w:rsidRDefault="00426BA4">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（三）拟公开情况</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、按照省级部门预决算公开的要求，将项目绩效自评结果随部门预决算一并公开。</w:t>
      </w:r>
    </w:p>
    <w:p w:rsidR="005D451F" w:rsidRDefault="00426BA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、在部门内部进行通</w:t>
      </w:r>
      <w:r>
        <w:rPr>
          <w:rFonts w:ascii="仿宋" w:eastAsia="仿宋" w:hAnsi="仿宋" w:cs="仿宋" w:hint="eastAsia"/>
          <w:sz w:val="32"/>
          <w:szCs w:val="32"/>
        </w:rPr>
        <w:t>报，并按照政府信息公开的有关规定在省司法厅门户网站公示。</w:t>
      </w:r>
    </w:p>
    <w:p w:rsidR="005D451F" w:rsidRDefault="00426BA4">
      <w:pPr>
        <w:spacing w:line="560" w:lineRule="exact"/>
        <w:ind w:firstLineChars="200" w:firstLine="643"/>
        <w:rPr>
          <w:rFonts w:ascii="仿宋" w:eastAsia="仿宋" w:hAnsi="仿宋" w:cs="仿宋"/>
          <w:b/>
          <w:sz w:val="32"/>
          <w:szCs w:val="32"/>
        </w:rPr>
      </w:pPr>
      <w:r>
        <w:rPr>
          <w:rFonts w:ascii="黑体" w:eastAsia="黑体" w:hAnsi="黑体" w:cs="黑体" w:hint="eastAsia"/>
          <w:b/>
          <w:sz w:val="32"/>
          <w:szCs w:val="32"/>
        </w:rPr>
        <w:t>五、</w:t>
      </w:r>
      <w:r>
        <w:rPr>
          <w:rFonts w:ascii="黑体" w:eastAsia="黑体" w:hAnsi="黑体" w:cs="黑体" w:hint="eastAsia"/>
          <w:b/>
          <w:sz w:val="32"/>
          <w:szCs w:val="32"/>
        </w:rPr>
        <w:t>2019</w:t>
      </w:r>
      <w:r>
        <w:rPr>
          <w:rFonts w:ascii="黑体" w:eastAsia="黑体" w:hAnsi="黑体" w:cs="黑体" w:hint="eastAsia"/>
          <w:b/>
          <w:sz w:val="32"/>
          <w:szCs w:val="32"/>
        </w:rPr>
        <w:t>年度国家统一法律职业资格考试项目绩效自评表（附后）</w:t>
      </w:r>
    </w:p>
    <w:p w:rsidR="005D451F" w:rsidRDefault="005D451F">
      <w:pPr>
        <w:spacing w:line="560" w:lineRule="exact"/>
        <w:ind w:firstLineChars="200" w:firstLine="640"/>
        <w:jc w:val="right"/>
        <w:rPr>
          <w:rFonts w:ascii="仿宋" w:eastAsia="仿宋" w:hAnsi="仿宋" w:cs="仿宋"/>
          <w:sz w:val="32"/>
          <w:szCs w:val="32"/>
        </w:rPr>
      </w:pPr>
    </w:p>
    <w:p w:rsidR="005D451F" w:rsidRDefault="005D451F">
      <w:pPr>
        <w:spacing w:line="560" w:lineRule="exact"/>
        <w:ind w:firstLineChars="200" w:firstLine="640"/>
        <w:jc w:val="right"/>
        <w:rPr>
          <w:rFonts w:ascii="仿宋" w:eastAsia="仿宋" w:hAnsi="仿宋" w:cs="仿宋"/>
          <w:sz w:val="32"/>
          <w:szCs w:val="32"/>
        </w:rPr>
      </w:pPr>
    </w:p>
    <w:p w:rsidR="005D451F" w:rsidRDefault="005D451F">
      <w:pPr>
        <w:spacing w:line="560" w:lineRule="exact"/>
        <w:ind w:firstLineChars="200" w:firstLine="640"/>
        <w:jc w:val="right"/>
        <w:rPr>
          <w:rFonts w:ascii="仿宋" w:eastAsia="仿宋" w:hAnsi="仿宋" w:cs="仿宋"/>
          <w:sz w:val="32"/>
          <w:szCs w:val="32"/>
        </w:rPr>
      </w:pPr>
    </w:p>
    <w:p w:rsidR="005D451F" w:rsidRDefault="00426BA4">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湖北省司法厅绩效自评工作小组</w:t>
      </w:r>
    </w:p>
    <w:p w:rsidR="005D451F" w:rsidRDefault="00426BA4">
      <w:pPr>
        <w:spacing w:line="5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2020</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sectPr w:rsidR="005D451F">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A4" w:rsidRDefault="00426BA4">
      <w:r>
        <w:separator/>
      </w:r>
    </w:p>
  </w:endnote>
  <w:endnote w:type="continuationSeparator" w:id="0">
    <w:p w:rsidR="00426BA4" w:rsidRDefault="0042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51F" w:rsidRDefault="00426BA4">
    <w:pPr>
      <w:pStyle w:val="ab"/>
    </w:pPr>
    <w:r>
      <w:pict>
        <v:shapetype id="_x0000_t202" coordsize="21600,21600" o:spt="202" path="m,l,21600r21600,l21600,xe">
          <v:stroke joinstyle="miter"/>
          <v:path gradientshapeok="t" o:connecttype="rect"/>
        </v:shapetype>
        <v:shape id="_x0000_s3074"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rsidR="005D451F" w:rsidRDefault="00426BA4">
                <w:pPr>
                  <w:pStyle w:val="ab"/>
                  <w:rPr>
                    <w:rFonts w:eastAsia="宋体"/>
                  </w:rPr>
                </w:pPr>
                <w:r>
                  <w:rPr>
                    <w:rFonts w:hint="eastAsia"/>
                  </w:rPr>
                  <w:fldChar w:fldCharType="begin"/>
                </w:r>
                <w:r>
                  <w:rPr>
                    <w:rFonts w:hint="eastAsia"/>
                  </w:rPr>
                  <w:instrText xml:space="preserve"> PAGE  \* MERGEFORMAT </w:instrText>
                </w:r>
                <w:r>
                  <w:rPr>
                    <w:rFonts w:hint="eastAsia"/>
                  </w:rPr>
                  <w:fldChar w:fldCharType="separate"/>
                </w:r>
                <w:r w:rsidR="00EE79F1">
                  <w:rPr>
                    <w:noProof/>
                  </w:rPr>
                  <w:t>- 7 -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A4" w:rsidRDefault="00426BA4">
      <w:r>
        <w:separator/>
      </w:r>
    </w:p>
  </w:footnote>
  <w:footnote w:type="continuationSeparator" w:id="0">
    <w:p w:rsidR="00426BA4" w:rsidRDefault="00426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3A79B"/>
    <w:multiLevelType w:val="singleLevel"/>
    <w:tmpl w:val="9F33A79B"/>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A34F8"/>
    <w:rsid w:val="00010D11"/>
    <w:rsid w:val="00017256"/>
    <w:rsid w:val="000334C5"/>
    <w:rsid w:val="00055C10"/>
    <w:rsid w:val="00056E24"/>
    <w:rsid w:val="00075742"/>
    <w:rsid w:val="0009474B"/>
    <w:rsid w:val="000A37C2"/>
    <w:rsid w:val="000B1730"/>
    <w:rsid w:val="000B2C8C"/>
    <w:rsid w:val="000B3DAB"/>
    <w:rsid w:val="000C6302"/>
    <w:rsid w:val="0012210B"/>
    <w:rsid w:val="00126D05"/>
    <w:rsid w:val="00131B23"/>
    <w:rsid w:val="001448CA"/>
    <w:rsid w:val="00163460"/>
    <w:rsid w:val="00166CF5"/>
    <w:rsid w:val="00191418"/>
    <w:rsid w:val="00196952"/>
    <w:rsid w:val="001A0AC4"/>
    <w:rsid w:val="001A0CF1"/>
    <w:rsid w:val="001B0C45"/>
    <w:rsid w:val="001C3F97"/>
    <w:rsid w:val="001D25CD"/>
    <w:rsid w:val="001D5772"/>
    <w:rsid w:val="001E094C"/>
    <w:rsid w:val="001E780C"/>
    <w:rsid w:val="001F66FF"/>
    <w:rsid w:val="00222CD1"/>
    <w:rsid w:val="0023534D"/>
    <w:rsid w:val="00250580"/>
    <w:rsid w:val="002600D4"/>
    <w:rsid w:val="0026540E"/>
    <w:rsid w:val="00277927"/>
    <w:rsid w:val="00283F17"/>
    <w:rsid w:val="00284A88"/>
    <w:rsid w:val="002B0E91"/>
    <w:rsid w:val="002E1BF5"/>
    <w:rsid w:val="002E5C9D"/>
    <w:rsid w:val="002E75EC"/>
    <w:rsid w:val="002F1806"/>
    <w:rsid w:val="00310286"/>
    <w:rsid w:val="00310DEC"/>
    <w:rsid w:val="003142D1"/>
    <w:rsid w:val="0031767E"/>
    <w:rsid w:val="00320673"/>
    <w:rsid w:val="00347AF2"/>
    <w:rsid w:val="00383A9C"/>
    <w:rsid w:val="00383EEA"/>
    <w:rsid w:val="003867DA"/>
    <w:rsid w:val="003A3C5D"/>
    <w:rsid w:val="003B13A4"/>
    <w:rsid w:val="003D2EB9"/>
    <w:rsid w:val="003E0241"/>
    <w:rsid w:val="003E1477"/>
    <w:rsid w:val="003F15F6"/>
    <w:rsid w:val="00417393"/>
    <w:rsid w:val="004224A9"/>
    <w:rsid w:val="00423CE3"/>
    <w:rsid w:val="00426BA4"/>
    <w:rsid w:val="00441D17"/>
    <w:rsid w:val="00454D3E"/>
    <w:rsid w:val="00463A19"/>
    <w:rsid w:val="004660A6"/>
    <w:rsid w:val="00472BA0"/>
    <w:rsid w:val="00480194"/>
    <w:rsid w:val="00482437"/>
    <w:rsid w:val="00487EC3"/>
    <w:rsid w:val="004A34F8"/>
    <w:rsid w:val="004C2623"/>
    <w:rsid w:val="004C4E99"/>
    <w:rsid w:val="004C736F"/>
    <w:rsid w:val="00523AFC"/>
    <w:rsid w:val="00563F9C"/>
    <w:rsid w:val="0056652A"/>
    <w:rsid w:val="0056766E"/>
    <w:rsid w:val="005B7AF2"/>
    <w:rsid w:val="005C3D6A"/>
    <w:rsid w:val="005C421E"/>
    <w:rsid w:val="005C45F0"/>
    <w:rsid w:val="005D386A"/>
    <w:rsid w:val="005D451F"/>
    <w:rsid w:val="005D5A44"/>
    <w:rsid w:val="005E6DD8"/>
    <w:rsid w:val="00620956"/>
    <w:rsid w:val="00620EEC"/>
    <w:rsid w:val="00624162"/>
    <w:rsid w:val="006259D2"/>
    <w:rsid w:val="00642C40"/>
    <w:rsid w:val="00651943"/>
    <w:rsid w:val="00664AF7"/>
    <w:rsid w:val="006661ED"/>
    <w:rsid w:val="00685C43"/>
    <w:rsid w:val="006A3ABE"/>
    <w:rsid w:val="006A3E30"/>
    <w:rsid w:val="006D3EB5"/>
    <w:rsid w:val="006D5D5A"/>
    <w:rsid w:val="006E23AE"/>
    <w:rsid w:val="00723D7E"/>
    <w:rsid w:val="00732BD7"/>
    <w:rsid w:val="007350C0"/>
    <w:rsid w:val="00750A3F"/>
    <w:rsid w:val="007542A0"/>
    <w:rsid w:val="007612E1"/>
    <w:rsid w:val="00774FE9"/>
    <w:rsid w:val="007B7291"/>
    <w:rsid w:val="007C783D"/>
    <w:rsid w:val="007E1E4F"/>
    <w:rsid w:val="008073B9"/>
    <w:rsid w:val="008235BF"/>
    <w:rsid w:val="00874B89"/>
    <w:rsid w:val="00894387"/>
    <w:rsid w:val="008D3C64"/>
    <w:rsid w:val="008D43EF"/>
    <w:rsid w:val="008D6A88"/>
    <w:rsid w:val="008F0DCE"/>
    <w:rsid w:val="008F20AD"/>
    <w:rsid w:val="008F2BF6"/>
    <w:rsid w:val="008F47CC"/>
    <w:rsid w:val="00901A8E"/>
    <w:rsid w:val="00934940"/>
    <w:rsid w:val="009356B2"/>
    <w:rsid w:val="009578E6"/>
    <w:rsid w:val="009601D7"/>
    <w:rsid w:val="00975CEE"/>
    <w:rsid w:val="00980847"/>
    <w:rsid w:val="0098744B"/>
    <w:rsid w:val="009A57E4"/>
    <w:rsid w:val="009B023E"/>
    <w:rsid w:val="009E5168"/>
    <w:rsid w:val="009E7104"/>
    <w:rsid w:val="009E7258"/>
    <w:rsid w:val="009F67BE"/>
    <w:rsid w:val="00A00A2F"/>
    <w:rsid w:val="00A0382D"/>
    <w:rsid w:val="00A05DD4"/>
    <w:rsid w:val="00A13FCE"/>
    <w:rsid w:val="00A160E5"/>
    <w:rsid w:val="00A24573"/>
    <w:rsid w:val="00A25F49"/>
    <w:rsid w:val="00A329F2"/>
    <w:rsid w:val="00A83873"/>
    <w:rsid w:val="00AA4359"/>
    <w:rsid w:val="00AA6CA5"/>
    <w:rsid w:val="00AA6CB6"/>
    <w:rsid w:val="00AD10FD"/>
    <w:rsid w:val="00AF18A0"/>
    <w:rsid w:val="00AF5F61"/>
    <w:rsid w:val="00B050C6"/>
    <w:rsid w:val="00B30119"/>
    <w:rsid w:val="00B35E4C"/>
    <w:rsid w:val="00B707BC"/>
    <w:rsid w:val="00B71C95"/>
    <w:rsid w:val="00B86D64"/>
    <w:rsid w:val="00B97258"/>
    <w:rsid w:val="00BB6896"/>
    <w:rsid w:val="00BC58D6"/>
    <w:rsid w:val="00BC5BF0"/>
    <w:rsid w:val="00BE1FDB"/>
    <w:rsid w:val="00BE2873"/>
    <w:rsid w:val="00BE5131"/>
    <w:rsid w:val="00BE5DE0"/>
    <w:rsid w:val="00BF3AB2"/>
    <w:rsid w:val="00C1552B"/>
    <w:rsid w:val="00C36615"/>
    <w:rsid w:val="00C54A92"/>
    <w:rsid w:val="00C83D94"/>
    <w:rsid w:val="00C96558"/>
    <w:rsid w:val="00CE2904"/>
    <w:rsid w:val="00CE79D2"/>
    <w:rsid w:val="00CF4CF7"/>
    <w:rsid w:val="00CF7292"/>
    <w:rsid w:val="00D12E12"/>
    <w:rsid w:val="00D15A08"/>
    <w:rsid w:val="00D20460"/>
    <w:rsid w:val="00D2205A"/>
    <w:rsid w:val="00D2492C"/>
    <w:rsid w:val="00D277AA"/>
    <w:rsid w:val="00D32B1E"/>
    <w:rsid w:val="00D654A8"/>
    <w:rsid w:val="00D70A4C"/>
    <w:rsid w:val="00D920B2"/>
    <w:rsid w:val="00DC2C32"/>
    <w:rsid w:val="00DC6A9B"/>
    <w:rsid w:val="00DD19C1"/>
    <w:rsid w:val="00DD4877"/>
    <w:rsid w:val="00DF16D2"/>
    <w:rsid w:val="00E01549"/>
    <w:rsid w:val="00E41509"/>
    <w:rsid w:val="00E63356"/>
    <w:rsid w:val="00E658BE"/>
    <w:rsid w:val="00E826D4"/>
    <w:rsid w:val="00EA3C1C"/>
    <w:rsid w:val="00EB7744"/>
    <w:rsid w:val="00EC1FD0"/>
    <w:rsid w:val="00EE40A8"/>
    <w:rsid w:val="00EE79F1"/>
    <w:rsid w:val="00EE7B1F"/>
    <w:rsid w:val="00F01E36"/>
    <w:rsid w:val="00F153F0"/>
    <w:rsid w:val="00F1704C"/>
    <w:rsid w:val="00F3389A"/>
    <w:rsid w:val="00F4489F"/>
    <w:rsid w:val="00F473AD"/>
    <w:rsid w:val="00F47932"/>
    <w:rsid w:val="00F84E08"/>
    <w:rsid w:val="00F859F4"/>
    <w:rsid w:val="00F91AA6"/>
    <w:rsid w:val="00F93527"/>
    <w:rsid w:val="00FB0671"/>
    <w:rsid w:val="00FB4B76"/>
    <w:rsid w:val="00FC554A"/>
    <w:rsid w:val="00FD589F"/>
    <w:rsid w:val="00FE31F9"/>
    <w:rsid w:val="00FE48CF"/>
    <w:rsid w:val="012B6474"/>
    <w:rsid w:val="018D18D4"/>
    <w:rsid w:val="02F534B6"/>
    <w:rsid w:val="047E3FEB"/>
    <w:rsid w:val="06270918"/>
    <w:rsid w:val="064D2110"/>
    <w:rsid w:val="0D695214"/>
    <w:rsid w:val="0FDF1FB0"/>
    <w:rsid w:val="18F1767D"/>
    <w:rsid w:val="1D5C7078"/>
    <w:rsid w:val="223723A8"/>
    <w:rsid w:val="23BB2223"/>
    <w:rsid w:val="241346D7"/>
    <w:rsid w:val="25FD5910"/>
    <w:rsid w:val="2922622F"/>
    <w:rsid w:val="2B173C97"/>
    <w:rsid w:val="2D3F6289"/>
    <w:rsid w:val="2E262D8C"/>
    <w:rsid w:val="305340F0"/>
    <w:rsid w:val="317204F4"/>
    <w:rsid w:val="31EA3054"/>
    <w:rsid w:val="34CA2009"/>
    <w:rsid w:val="35066E1D"/>
    <w:rsid w:val="35F37820"/>
    <w:rsid w:val="3C3F53A7"/>
    <w:rsid w:val="3C841392"/>
    <w:rsid w:val="42B446EA"/>
    <w:rsid w:val="483A4B18"/>
    <w:rsid w:val="48A06795"/>
    <w:rsid w:val="4B5328CC"/>
    <w:rsid w:val="4E05015C"/>
    <w:rsid w:val="52C628C1"/>
    <w:rsid w:val="54B91DF4"/>
    <w:rsid w:val="55326765"/>
    <w:rsid w:val="58B37F46"/>
    <w:rsid w:val="58B84514"/>
    <w:rsid w:val="598263E0"/>
    <w:rsid w:val="5C83005E"/>
    <w:rsid w:val="618617E5"/>
    <w:rsid w:val="62A06D1D"/>
    <w:rsid w:val="663B775E"/>
    <w:rsid w:val="67401635"/>
    <w:rsid w:val="69F324F6"/>
    <w:rsid w:val="6F4C4642"/>
    <w:rsid w:val="710B1FD4"/>
    <w:rsid w:val="72D85615"/>
    <w:rsid w:val="73420D76"/>
    <w:rsid w:val="76E44D60"/>
    <w:rsid w:val="79376CF1"/>
    <w:rsid w:val="79D819CD"/>
    <w:rsid w:val="79F847AC"/>
    <w:rsid w:val="7B3455D0"/>
    <w:rsid w:val="7C7A712F"/>
    <w:rsid w:val="7F954F8B"/>
    <w:rsid w:val="7FBB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E6B3F4B3-DA22-4C51-ACF1-E5B426F6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FirstIndent2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a"/>
    <w:qFormat/>
    <w:pPr>
      <w:ind w:firstLineChars="200" w:firstLine="880"/>
    </w:pPr>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endnote text"/>
    <w:basedOn w:val="a"/>
    <w:link w:val="a8"/>
    <w:uiPriority w:val="99"/>
    <w:semiHidden/>
    <w:unhideWhenUsed/>
    <w:qFormat/>
    <w:pPr>
      <w:snapToGrid w:val="0"/>
      <w:jc w:val="left"/>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3"/>
    <w:next w:val="a3"/>
    <w:link w:val="af0"/>
    <w:uiPriority w:val="99"/>
    <w:semiHidden/>
    <w:unhideWhenUsed/>
    <w:qFormat/>
    <w:rPr>
      <w:b/>
      <w:bCs/>
    </w:rPr>
  </w:style>
  <w:style w:type="character" w:styleId="af1">
    <w:name w:val="endnote reference"/>
    <w:basedOn w:val="a0"/>
    <w:uiPriority w:val="99"/>
    <w:semiHidden/>
    <w:unhideWhenUsed/>
    <w:qFormat/>
    <w:rPr>
      <w:vertAlign w:val="superscript"/>
    </w:rPr>
  </w:style>
  <w:style w:type="character" w:styleId="af2">
    <w:name w:val="Hyperlink"/>
    <w:basedOn w:val="a0"/>
    <w:uiPriority w:val="99"/>
    <w:unhideWhenUsed/>
    <w:qFormat/>
    <w:rPr>
      <w:color w:val="0000FF" w:themeColor="hyperlink"/>
      <w:u w:val="single"/>
    </w:rPr>
  </w:style>
  <w:style w:type="character" w:styleId="af3">
    <w:name w:val="annotation reference"/>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character" w:customStyle="1" w:styleId="a8">
    <w:name w:val="尾注文本 字符"/>
    <w:basedOn w:val="a0"/>
    <w:link w:val="a7"/>
    <w:uiPriority w:val="99"/>
    <w:semiHidden/>
    <w:qFormat/>
    <w:rPr>
      <w:rFonts w:ascii="Times New Roman" w:eastAsia="宋体" w:hAnsi="Times New Roman" w:cs="Times New Roman"/>
      <w:szCs w:val="24"/>
    </w:rPr>
  </w:style>
  <w:style w:type="character" w:customStyle="1" w:styleId="font01">
    <w:name w:val="font01"/>
    <w:basedOn w:val="a0"/>
    <w:qFormat/>
    <w:rPr>
      <w:rFonts w:ascii="仿宋_GB2312" w:eastAsia="仿宋_GB2312" w:cs="仿宋_GB2312" w:hint="eastAsia"/>
      <w:b/>
      <w:color w:val="000000"/>
      <w:sz w:val="20"/>
      <w:szCs w:val="20"/>
      <w:u w:val="none"/>
    </w:rPr>
  </w:style>
  <w:style w:type="character" w:customStyle="1" w:styleId="font51">
    <w:name w:val="font51"/>
    <w:basedOn w:val="a0"/>
    <w:qFormat/>
    <w:rPr>
      <w:rFonts w:ascii="仿宋_GB2312" w:eastAsia="仿宋_GB2312" w:cs="仿宋_GB2312" w:hint="eastAsia"/>
      <w:color w:val="000000"/>
      <w:sz w:val="20"/>
      <w:szCs w:val="20"/>
      <w:u w:val="none"/>
    </w:rPr>
  </w:style>
  <w:style w:type="character" w:customStyle="1" w:styleId="font41">
    <w:name w:val="font41"/>
    <w:basedOn w:val="a0"/>
    <w:qFormat/>
    <w:rPr>
      <w:rFonts w:ascii="仿宋_GB2312" w:eastAsia="仿宋_GB2312" w:cs="仿宋_GB2312" w:hint="eastAsia"/>
      <w:b/>
      <w:color w:val="000000"/>
      <w:sz w:val="20"/>
      <w:szCs w:val="20"/>
      <w:u w:val="none"/>
    </w:rPr>
  </w:style>
  <w:style w:type="character" w:customStyle="1" w:styleId="font11">
    <w:name w:val="font11"/>
    <w:basedOn w:val="a0"/>
    <w:qFormat/>
    <w:rPr>
      <w:rFonts w:ascii="仿宋_GB2312" w:eastAsia="仿宋_GB2312" w:cs="仿宋_GB2312" w:hint="eastAsia"/>
      <w:color w:val="000000"/>
      <w:sz w:val="20"/>
      <w:szCs w:val="20"/>
      <w:u w:val="none"/>
    </w:rPr>
  </w:style>
  <w:style w:type="character" w:customStyle="1" w:styleId="font61">
    <w:name w:val="font61"/>
    <w:basedOn w:val="a0"/>
    <w:qFormat/>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032DD-464E-4C67-9E71-58C7FADB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李然</cp:lastModifiedBy>
  <cp:revision>399</cp:revision>
  <dcterms:created xsi:type="dcterms:W3CDTF">2019-04-26T02:32:00Z</dcterms:created>
  <dcterms:modified xsi:type="dcterms:W3CDTF">2020-08-09T09:43:00Z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